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213E" w:rsidRDefault="0070174C">
      <w:pPr>
        <w:jc w:val="center"/>
        <w:rPr>
          <w:rFonts w:ascii="仿宋" w:eastAsia="仿宋" w:hAnsi="仿宋"/>
          <w:b/>
          <w:sz w:val="30"/>
          <w:szCs w:val="30"/>
        </w:rPr>
      </w:pPr>
      <w:r w:rsidRPr="0070174C">
        <w:rPr>
          <w:rFonts w:ascii="仿宋" w:eastAsia="仿宋" w:hAnsi="仿宋" w:hint="eastAsia"/>
          <w:b/>
          <w:sz w:val="32"/>
          <w:szCs w:val="32"/>
        </w:rPr>
        <w:t>2019年度金坛区唐王小学车棚餐厅改造工程</w:t>
      </w:r>
      <w:r w:rsidR="00B70083">
        <w:rPr>
          <w:rFonts w:ascii="仿宋" w:eastAsia="仿宋" w:hAnsi="仿宋" w:hint="eastAsia"/>
          <w:b/>
          <w:sz w:val="30"/>
          <w:szCs w:val="30"/>
        </w:rPr>
        <w:t>编制说明</w:t>
      </w:r>
    </w:p>
    <w:p w:rsidR="00FD213E" w:rsidRDefault="00B70083">
      <w:pPr>
        <w:spacing w:line="360" w:lineRule="auto"/>
        <w:rPr>
          <w:rFonts w:ascii="仿宋" w:eastAsia="仿宋" w:hAnsi="仿宋"/>
          <w:b/>
          <w:sz w:val="28"/>
          <w:szCs w:val="28"/>
        </w:rPr>
      </w:pPr>
      <w:r>
        <w:rPr>
          <w:rFonts w:ascii="仿宋" w:eastAsia="仿宋" w:hAnsi="仿宋" w:hint="eastAsia"/>
          <w:b/>
          <w:sz w:val="28"/>
          <w:szCs w:val="28"/>
        </w:rPr>
        <w:t>一、工程概况</w:t>
      </w:r>
    </w:p>
    <w:p w:rsidR="00FD213E" w:rsidRDefault="00B70083">
      <w:pPr>
        <w:spacing w:line="360" w:lineRule="auto"/>
        <w:ind w:firstLineChars="100" w:firstLine="240"/>
        <w:rPr>
          <w:rFonts w:ascii="仿宋" w:eastAsia="仿宋" w:hAnsi="仿宋"/>
          <w:sz w:val="24"/>
        </w:rPr>
      </w:pPr>
      <w:r>
        <w:rPr>
          <w:rFonts w:ascii="仿宋" w:eastAsia="仿宋" w:hAnsi="仿宋" w:cs="宋体" w:hint="eastAsia"/>
          <w:sz w:val="24"/>
        </w:rPr>
        <w:t>本工程</w:t>
      </w:r>
      <w:r>
        <w:rPr>
          <w:rFonts w:ascii="仿宋" w:eastAsia="仿宋" w:hAnsi="仿宋" w:hint="eastAsia"/>
          <w:sz w:val="24"/>
        </w:rPr>
        <w:t>为</w:t>
      </w:r>
      <w:r w:rsidR="0070174C" w:rsidRPr="0070174C">
        <w:rPr>
          <w:rFonts w:ascii="仿宋" w:eastAsia="仿宋" w:hAnsi="仿宋" w:hint="eastAsia"/>
          <w:sz w:val="24"/>
        </w:rPr>
        <w:t>2019年度金坛区唐王小学车棚餐厅改造工程</w:t>
      </w:r>
      <w:r>
        <w:rPr>
          <w:rFonts w:ascii="仿宋" w:eastAsia="仿宋" w:hAnsi="仿宋" w:hint="eastAsia"/>
          <w:sz w:val="24"/>
        </w:rPr>
        <w:t>等暑期维修</w:t>
      </w:r>
      <w:r>
        <w:rPr>
          <w:rFonts w:ascii="仿宋" w:eastAsia="仿宋" w:hAnsi="仿宋" w:hint="eastAsia"/>
          <w:color w:val="FF0000"/>
          <w:sz w:val="24"/>
        </w:rPr>
        <w:t>项目</w:t>
      </w:r>
      <w:r>
        <w:rPr>
          <w:rFonts w:ascii="仿宋" w:eastAsia="仿宋" w:hAnsi="仿宋" w:hint="eastAsia"/>
          <w:sz w:val="24"/>
        </w:rPr>
        <w:t>，建设规模、工程特征、施工现场实际情况、交通运输情况、自然地理条件、环境保护要求等见招标文件，并</w:t>
      </w:r>
      <w:r>
        <w:rPr>
          <w:rFonts w:ascii="仿宋" w:eastAsia="仿宋" w:hAnsi="仿宋" w:hint="eastAsia"/>
          <w:b/>
          <w:sz w:val="24"/>
        </w:rPr>
        <w:t>要求投标单位现场踏勘</w:t>
      </w:r>
      <w:r>
        <w:rPr>
          <w:rFonts w:ascii="仿宋" w:eastAsia="仿宋" w:hAnsi="仿宋" w:hint="eastAsia"/>
          <w:sz w:val="24"/>
        </w:rPr>
        <w:t>。</w:t>
      </w:r>
    </w:p>
    <w:p w:rsidR="00FD213E" w:rsidRDefault="00B70083">
      <w:pPr>
        <w:spacing w:line="360" w:lineRule="auto"/>
        <w:rPr>
          <w:rFonts w:ascii="仿宋" w:eastAsia="仿宋" w:hAnsi="仿宋"/>
          <w:b/>
          <w:sz w:val="28"/>
          <w:szCs w:val="28"/>
        </w:rPr>
      </w:pPr>
      <w:r>
        <w:rPr>
          <w:rFonts w:ascii="仿宋" w:eastAsia="仿宋" w:hAnsi="仿宋" w:hint="eastAsia"/>
          <w:b/>
          <w:sz w:val="28"/>
          <w:szCs w:val="28"/>
        </w:rPr>
        <w:t>二、编制依据</w:t>
      </w:r>
    </w:p>
    <w:p w:rsidR="00FD213E" w:rsidRDefault="00B70083">
      <w:pPr>
        <w:numPr>
          <w:ilvl w:val="0"/>
          <w:numId w:val="1"/>
        </w:numPr>
        <w:tabs>
          <w:tab w:val="clear" w:pos="780"/>
          <w:tab w:val="left" w:pos="360"/>
        </w:tabs>
        <w:spacing w:line="360" w:lineRule="auto"/>
        <w:rPr>
          <w:rFonts w:ascii="仿宋" w:eastAsia="仿宋" w:hAnsi="仿宋"/>
          <w:sz w:val="24"/>
        </w:rPr>
      </w:pPr>
      <w:r>
        <w:rPr>
          <w:rFonts w:ascii="仿宋" w:eastAsia="仿宋" w:hAnsi="仿宋" w:hint="eastAsia"/>
          <w:sz w:val="24"/>
        </w:rPr>
        <w:t>根据现场踏勘、测量、相关设计施工规范，编制清单。</w:t>
      </w:r>
    </w:p>
    <w:p w:rsidR="00FD213E" w:rsidRDefault="00B70083">
      <w:pPr>
        <w:numPr>
          <w:ilvl w:val="0"/>
          <w:numId w:val="1"/>
        </w:numPr>
        <w:spacing w:line="360" w:lineRule="auto"/>
        <w:rPr>
          <w:rFonts w:ascii="仿宋" w:eastAsia="仿宋" w:hAnsi="仿宋"/>
          <w:sz w:val="24"/>
        </w:rPr>
      </w:pPr>
      <w:r>
        <w:rPr>
          <w:rFonts w:ascii="仿宋" w:eastAsia="仿宋" w:hAnsi="仿宋" w:hint="eastAsia"/>
          <w:sz w:val="24"/>
        </w:rPr>
        <w:t>中华人民共和国建设部《建设工程工程量清单计价规范》（GB50500-2013）。</w:t>
      </w:r>
    </w:p>
    <w:p w:rsidR="00FD213E" w:rsidRDefault="00B70083">
      <w:pPr>
        <w:numPr>
          <w:ilvl w:val="0"/>
          <w:numId w:val="1"/>
        </w:numPr>
        <w:spacing w:line="360" w:lineRule="auto"/>
        <w:rPr>
          <w:rFonts w:ascii="仿宋" w:eastAsia="仿宋" w:hAnsi="仿宋"/>
          <w:sz w:val="24"/>
        </w:rPr>
      </w:pPr>
      <w:r>
        <w:rPr>
          <w:rFonts w:ascii="仿宋" w:eastAsia="仿宋" w:hAnsi="仿宋" w:hint="eastAsia"/>
          <w:sz w:val="24"/>
        </w:rPr>
        <w:t>《江苏省建设工程工程量清单计价项目指引》、《2014年江苏省市政工程计价表》、《2014年江苏省安装工程计价表》、《2014年江苏省建筑与装饰工程计价表》、《江苏省房屋修缮工程计价表》（2009年）；《江苏省建设工程费用定额》（2014年）及营改增后调整内容（依据苏建价【2016】154号文件、常建【2016】94号及苏建函价【2019】178号文）、《省住房城乡建设厅关于调整建设工程按质论价等费用计取方法的公告》（省建设厅公告【2018】第24号文）等。</w:t>
      </w:r>
    </w:p>
    <w:p w:rsidR="00FD213E" w:rsidRDefault="00B70083">
      <w:pPr>
        <w:numPr>
          <w:ilvl w:val="0"/>
          <w:numId w:val="1"/>
        </w:numPr>
        <w:spacing w:line="360" w:lineRule="auto"/>
        <w:rPr>
          <w:rFonts w:ascii="仿宋" w:eastAsia="仿宋" w:hAnsi="仿宋"/>
          <w:sz w:val="24"/>
        </w:rPr>
      </w:pPr>
      <w:r>
        <w:rPr>
          <w:rFonts w:ascii="仿宋" w:eastAsia="仿宋" w:hAnsi="仿宋" w:hint="eastAsia"/>
          <w:sz w:val="24"/>
        </w:rPr>
        <w:t>材料价格</w:t>
      </w:r>
      <w:r>
        <w:rPr>
          <w:rFonts w:ascii="仿宋" w:eastAsia="仿宋" w:hAnsi="仿宋" w:cs="宋体" w:hint="eastAsia"/>
          <w:kern w:val="0"/>
          <w:sz w:val="24"/>
        </w:rPr>
        <w:t>：按2019年5月份常州工程造价信息指导价计入及市场询价计入（以上均为除税价）。</w:t>
      </w:r>
    </w:p>
    <w:p w:rsidR="00FD213E" w:rsidRDefault="00B70083">
      <w:pPr>
        <w:numPr>
          <w:ilvl w:val="0"/>
          <w:numId w:val="1"/>
        </w:numPr>
        <w:spacing w:line="360" w:lineRule="auto"/>
        <w:rPr>
          <w:rFonts w:ascii="仿宋" w:eastAsia="仿宋" w:hAnsi="仿宋" w:cs="宋体"/>
          <w:kern w:val="0"/>
          <w:sz w:val="24"/>
        </w:rPr>
      </w:pPr>
      <w:r>
        <w:rPr>
          <w:rFonts w:ascii="仿宋" w:eastAsia="仿宋" w:hAnsi="仿宋" w:cs="宋体" w:hint="eastAsia"/>
          <w:kern w:val="0"/>
          <w:sz w:val="24"/>
        </w:rPr>
        <w:t>本工程人工费按苏建函价[2019]142号文执行。</w:t>
      </w:r>
    </w:p>
    <w:p w:rsidR="00FD213E" w:rsidRPr="004A3932" w:rsidRDefault="00B70083" w:rsidP="004A3932">
      <w:pPr>
        <w:numPr>
          <w:ilvl w:val="0"/>
          <w:numId w:val="1"/>
        </w:numPr>
        <w:spacing w:line="360" w:lineRule="auto"/>
        <w:rPr>
          <w:rFonts w:ascii="仿宋" w:eastAsia="仿宋" w:hAnsi="仿宋"/>
          <w:sz w:val="24"/>
        </w:rPr>
      </w:pPr>
      <w:r>
        <w:rPr>
          <w:rFonts w:ascii="仿宋" w:eastAsia="仿宋" w:hAnsi="仿宋" w:cs="宋体" w:hint="eastAsia"/>
          <w:kern w:val="0"/>
          <w:sz w:val="24"/>
        </w:rPr>
        <w:t>由于维修项目零星、场地散，现场情况复杂，成品保护要求高，土方、材料、垃圾受场地的限制</w:t>
      </w:r>
      <w:r w:rsidR="007E7D5C">
        <w:rPr>
          <w:rFonts w:ascii="仿宋" w:eastAsia="仿宋" w:hAnsi="仿宋" w:cs="宋体" w:hint="eastAsia"/>
          <w:kern w:val="0"/>
          <w:sz w:val="24"/>
        </w:rPr>
        <w:t>,必须要求:</w:t>
      </w:r>
      <w:r>
        <w:rPr>
          <w:rFonts w:ascii="仿宋" w:eastAsia="仿宋" w:hAnsi="仿宋" w:cs="宋体" w:hint="eastAsia"/>
          <w:kern w:val="0"/>
          <w:sz w:val="24"/>
        </w:rPr>
        <w:t>运输</w:t>
      </w:r>
      <w:r w:rsidR="007E7D5C">
        <w:rPr>
          <w:rFonts w:ascii="仿宋" w:eastAsia="仿宋" w:hAnsi="仿宋" w:cs="宋体" w:hint="eastAsia"/>
          <w:kern w:val="0"/>
          <w:sz w:val="24"/>
        </w:rPr>
        <w:t>运输通道铺保护板</w:t>
      </w:r>
      <w:r>
        <w:rPr>
          <w:rFonts w:ascii="仿宋" w:eastAsia="仿宋" w:hAnsi="仿宋" w:cs="宋体" w:hint="eastAsia"/>
          <w:kern w:val="0"/>
          <w:sz w:val="24"/>
        </w:rPr>
        <w:t>、</w:t>
      </w:r>
      <w:r w:rsidR="007E7D5C">
        <w:rPr>
          <w:rFonts w:ascii="仿宋" w:eastAsia="仿宋" w:hAnsi="仿宋" w:cs="宋体" w:hint="eastAsia"/>
          <w:kern w:val="0"/>
          <w:sz w:val="24"/>
        </w:rPr>
        <w:t>材料及垃圾人工挑台</w:t>
      </w:r>
      <w:r w:rsidR="004A3932">
        <w:rPr>
          <w:rFonts w:ascii="仿宋" w:eastAsia="仿宋" w:hAnsi="仿宋" w:hint="eastAsia"/>
          <w:sz w:val="24"/>
        </w:rPr>
        <w:t>、</w:t>
      </w:r>
      <w:r w:rsidRPr="004A3932">
        <w:rPr>
          <w:rFonts w:ascii="仿宋" w:eastAsia="仿宋" w:hAnsi="仿宋" w:cs="宋体" w:hint="eastAsia"/>
          <w:kern w:val="0"/>
          <w:sz w:val="24"/>
        </w:rPr>
        <w:t>人力车二次搬运，涂料作业不允许交叉污染，工完场清；因此二次搬运费、成品保护费、垂直运输费、脚手架等措施费用包干，不另行签证，价格不调整。</w:t>
      </w:r>
    </w:p>
    <w:p w:rsidR="004A3932" w:rsidRPr="004A3932" w:rsidRDefault="004A3932" w:rsidP="004A3932">
      <w:pPr>
        <w:numPr>
          <w:ilvl w:val="0"/>
          <w:numId w:val="1"/>
        </w:numPr>
        <w:spacing w:line="360" w:lineRule="auto"/>
        <w:rPr>
          <w:rFonts w:ascii="仿宋" w:eastAsia="仿宋" w:hAnsi="仿宋"/>
          <w:sz w:val="24"/>
        </w:rPr>
      </w:pPr>
      <w:r>
        <w:rPr>
          <w:rFonts w:ascii="仿宋" w:eastAsia="仿宋" w:hAnsi="仿宋" w:cs="宋体" w:hint="eastAsia"/>
          <w:kern w:val="0"/>
          <w:sz w:val="24"/>
        </w:rPr>
        <w:t>施工期间如损坏、污染其原校园设备、场地等设施必须按原样复原，不另行签证，价格不调整。</w:t>
      </w:r>
    </w:p>
    <w:p w:rsidR="00FD213E" w:rsidRDefault="00B70083">
      <w:pPr>
        <w:numPr>
          <w:ilvl w:val="0"/>
          <w:numId w:val="1"/>
        </w:numPr>
        <w:spacing w:line="360" w:lineRule="auto"/>
        <w:rPr>
          <w:rFonts w:ascii="仿宋" w:eastAsia="仿宋" w:hAnsi="仿宋"/>
          <w:sz w:val="24"/>
        </w:rPr>
      </w:pPr>
      <w:r>
        <w:rPr>
          <w:rFonts w:ascii="仿宋" w:eastAsia="仿宋" w:hAnsi="仿宋" w:cs="宋体" w:hint="eastAsia"/>
          <w:kern w:val="0"/>
          <w:sz w:val="24"/>
        </w:rPr>
        <w:t>各工种、各专业之间无条件配合，不计取任何配合费。</w:t>
      </w:r>
    </w:p>
    <w:p w:rsidR="00FD213E" w:rsidRDefault="00B70083">
      <w:pPr>
        <w:numPr>
          <w:ilvl w:val="0"/>
          <w:numId w:val="1"/>
        </w:numPr>
        <w:spacing w:line="360" w:lineRule="auto"/>
        <w:rPr>
          <w:rFonts w:ascii="仿宋" w:eastAsia="仿宋" w:hAnsi="仿宋"/>
          <w:sz w:val="24"/>
        </w:rPr>
      </w:pPr>
      <w:r>
        <w:rPr>
          <w:rFonts w:ascii="仿宋" w:eastAsia="仿宋" w:hAnsi="仿宋" w:cs="宋体" w:hint="eastAsia"/>
          <w:kern w:val="0"/>
          <w:sz w:val="24"/>
        </w:rPr>
        <w:t>水电费甲供，甲方提供驳接点，临时用电水线缆、控制箱管材等自行考虑，满足安全文明施工要求，完工后恢复原状。</w:t>
      </w:r>
    </w:p>
    <w:p w:rsidR="00FD213E" w:rsidRDefault="00B70083">
      <w:pPr>
        <w:numPr>
          <w:ilvl w:val="0"/>
          <w:numId w:val="1"/>
        </w:numPr>
        <w:spacing w:line="360" w:lineRule="auto"/>
        <w:rPr>
          <w:rFonts w:ascii="仿宋" w:eastAsia="仿宋" w:hAnsi="仿宋"/>
          <w:sz w:val="24"/>
        </w:rPr>
      </w:pPr>
      <w:r>
        <w:rPr>
          <w:rFonts w:ascii="仿宋" w:eastAsia="仿宋" w:hint="eastAsia"/>
          <w:sz w:val="24"/>
        </w:rPr>
        <w:lastRenderedPageBreak/>
        <w:t>所有垃圾清理外运：清理、拆除的垃圾外运及垃圾处理费，由投标单位考虑到报价中，垃圾处理要求按照“</w:t>
      </w:r>
      <w:r w:rsidR="004A3932">
        <w:rPr>
          <w:rFonts w:ascii="仿宋" w:eastAsia="仿宋" w:hint="eastAsia"/>
          <w:b/>
          <w:sz w:val="24"/>
        </w:rPr>
        <w:t>常城管（2019）31号</w:t>
      </w:r>
      <w:r>
        <w:rPr>
          <w:rFonts w:ascii="仿宋" w:eastAsia="仿宋" w:hint="eastAsia"/>
          <w:b/>
          <w:sz w:val="24"/>
        </w:rPr>
        <w:t>”</w:t>
      </w:r>
      <w:r>
        <w:rPr>
          <w:rFonts w:ascii="仿宋" w:eastAsia="仿宋" w:hint="eastAsia"/>
          <w:sz w:val="24"/>
        </w:rPr>
        <w:t>文件执行，该项费用包干。</w:t>
      </w:r>
    </w:p>
    <w:p w:rsidR="00FD213E" w:rsidRDefault="00B70083">
      <w:pPr>
        <w:numPr>
          <w:ilvl w:val="0"/>
          <w:numId w:val="1"/>
        </w:numPr>
        <w:spacing w:line="360" w:lineRule="auto"/>
        <w:rPr>
          <w:rFonts w:ascii="仿宋" w:eastAsia="仿宋" w:hAnsi="仿宋"/>
          <w:sz w:val="24"/>
        </w:rPr>
      </w:pPr>
      <w:r>
        <w:rPr>
          <w:rFonts w:ascii="仿宋" w:eastAsia="仿宋" w:hAnsi="仿宋" w:hint="eastAsia"/>
          <w:sz w:val="24"/>
        </w:rPr>
        <w:t>保修期内验收发现涂料剥皮，脱落、瓷砖开裂、空鼓，均有施工方无偿返工维修。</w:t>
      </w:r>
    </w:p>
    <w:p w:rsidR="00FD213E" w:rsidRDefault="00B70083">
      <w:pPr>
        <w:numPr>
          <w:ilvl w:val="0"/>
          <w:numId w:val="1"/>
        </w:numPr>
        <w:spacing w:line="360" w:lineRule="auto"/>
        <w:rPr>
          <w:rFonts w:ascii="仿宋" w:eastAsia="仿宋" w:hAnsi="仿宋"/>
          <w:sz w:val="24"/>
        </w:rPr>
      </w:pPr>
      <w:r>
        <w:rPr>
          <w:rFonts w:ascii="仿宋" w:eastAsia="仿宋" w:hint="eastAsia"/>
          <w:sz w:val="24"/>
        </w:rPr>
        <w:t>所有涂料、乳胶漆、胶水、腻子均要求一次性进场，施工期间只允许进不允许出。主要主材（包括外墙涂料、外墙乳胶漆、内墙乳胶漆、胶水）提供有效期内的环保检测合格证;施工过程中注意成品保护，用彩条布或塑料薄膜覆盖。</w:t>
      </w:r>
    </w:p>
    <w:p w:rsidR="00FD213E" w:rsidRDefault="00B70083">
      <w:pPr>
        <w:numPr>
          <w:ilvl w:val="0"/>
          <w:numId w:val="1"/>
        </w:numPr>
        <w:spacing w:line="360" w:lineRule="auto"/>
        <w:rPr>
          <w:rFonts w:ascii="仿宋" w:eastAsia="仿宋" w:hAnsi="仿宋"/>
          <w:sz w:val="24"/>
        </w:rPr>
      </w:pPr>
      <w:r>
        <w:rPr>
          <w:rFonts w:ascii="仿宋" w:eastAsia="仿宋" w:hint="eastAsia"/>
          <w:sz w:val="24"/>
        </w:rPr>
        <w:t>外涂必须分步骤施工，画出分隔条及滴水条，门窗雨棚及砖墙面地面清理，5年不褪色不起皮。</w:t>
      </w:r>
      <w:r>
        <w:rPr>
          <w:rFonts w:ascii="仿宋" w:eastAsia="仿宋" w:hAnsi="仿宋" w:hint="eastAsia"/>
          <w:sz w:val="24"/>
        </w:rPr>
        <w:t>外墙涂料整桶包装，不许用无色底漆。</w:t>
      </w:r>
    </w:p>
    <w:p w:rsidR="00FD213E" w:rsidRDefault="00B70083">
      <w:pPr>
        <w:numPr>
          <w:ilvl w:val="0"/>
          <w:numId w:val="1"/>
        </w:numPr>
        <w:spacing w:line="360" w:lineRule="auto"/>
        <w:rPr>
          <w:rFonts w:ascii="仿宋" w:eastAsia="仿宋"/>
          <w:sz w:val="24"/>
        </w:rPr>
      </w:pPr>
      <w:r>
        <w:rPr>
          <w:rFonts w:ascii="仿宋" w:eastAsia="仿宋"/>
          <w:sz w:val="24"/>
        </w:rPr>
        <w:t xml:space="preserve">墙面、天棚、地面、台面、门窗、扶手、灯具、空调、桌椅、柜面等清理干净交付；所有项目的报价均为按规范、要求完成该项目所有工序、工完场清且经验收合格后的价格 </w:t>
      </w:r>
      <w:r>
        <w:rPr>
          <w:rFonts w:ascii="仿宋" w:eastAsia="仿宋" w:hint="eastAsia"/>
          <w:sz w:val="24"/>
        </w:rPr>
        <w:t>。</w:t>
      </w:r>
    </w:p>
    <w:p w:rsidR="00FD213E" w:rsidRDefault="00B70083">
      <w:pPr>
        <w:numPr>
          <w:ilvl w:val="0"/>
          <w:numId w:val="1"/>
        </w:numPr>
        <w:spacing w:line="360" w:lineRule="auto"/>
        <w:rPr>
          <w:rFonts w:ascii="仿宋" w:eastAsia="仿宋"/>
          <w:sz w:val="24"/>
        </w:rPr>
      </w:pPr>
      <w:r>
        <w:rPr>
          <w:rFonts w:ascii="仿宋" w:eastAsia="仿宋" w:hint="eastAsia"/>
          <w:sz w:val="24"/>
        </w:rPr>
        <w:t>所有刷涂料项目中，现场均包含线槽管刷涂料，线槽切割机切割，包含铺设网格布，不另行签证。</w:t>
      </w:r>
    </w:p>
    <w:p w:rsidR="001E43D2" w:rsidRDefault="001E43D2" w:rsidP="001E43D2">
      <w:pPr>
        <w:numPr>
          <w:ilvl w:val="0"/>
          <w:numId w:val="1"/>
        </w:numPr>
        <w:spacing w:line="360" w:lineRule="auto"/>
        <w:rPr>
          <w:rFonts w:ascii="仿宋" w:eastAsia="仿宋" w:hAnsi="仿宋"/>
          <w:color w:val="FF0000"/>
          <w:sz w:val="24"/>
        </w:rPr>
      </w:pPr>
      <w:r>
        <w:rPr>
          <w:rFonts w:ascii="仿宋" w:eastAsia="仿宋" w:hAnsi="仿宋" w:hint="eastAsia"/>
          <w:color w:val="FF0000"/>
          <w:sz w:val="24"/>
        </w:rPr>
        <w:t>施工中所有钢结构型材必须是热镀锌，连接件为304不锈钢连接件，化学螺栓锚固，报价自行考虑，结算不得另行签证，增加费用。</w:t>
      </w:r>
    </w:p>
    <w:p w:rsidR="001E43D2" w:rsidRDefault="001E43D2" w:rsidP="001E43D2">
      <w:pPr>
        <w:tabs>
          <w:tab w:val="left" w:pos="780"/>
        </w:tabs>
        <w:spacing w:line="360" w:lineRule="auto"/>
        <w:ind w:left="780"/>
        <w:rPr>
          <w:rFonts w:ascii="仿宋" w:eastAsia="仿宋"/>
          <w:sz w:val="24"/>
        </w:rPr>
      </w:pPr>
    </w:p>
    <w:p w:rsidR="00FD213E" w:rsidRDefault="00B70083">
      <w:pPr>
        <w:spacing w:line="360" w:lineRule="auto"/>
        <w:rPr>
          <w:rFonts w:ascii="仿宋" w:eastAsia="仿宋" w:hAnsi="仿宋"/>
          <w:sz w:val="32"/>
          <w:szCs w:val="32"/>
        </w:rPr>
      </w:pPr>
      <w:r>
        <w:rPr>
          <w:rFonts w:ascii="仿宋" w:eastAsia="仿宋" w:hAnsi="仿宋" w:hint="eastAsia"/>
          <w:b/>
          <w:sz w:val="28"/>
          <w:szCs w:val="28"/>
        </w:rPr>
        <w:t>三、材料品牌选择</w:t>
      </w:r>
      <w:r>
        <w:rPr>
          <w:rFonts w:ascii="仿宋" w:eastAsia="仿宋" w:hAnsi="仿宋" w:hint="eastAsia"/>
          <w:sz w:val="32"/>
          <w:szCs w:val="32"/>
        </w:rPr>
        <w:t>：</w:t>
      </w:r>
    </w:p>
    <w:tbl>
      <w:tblPr>
        <w:tblW w:w="9371" w:type="dxa"/>
        <w:tblInd w:w="93" w:type="dxa"/>
        <w:tblLayout w:type="fixed"/>
        <w:tblLook w:val="04A0"/>
      </w:tblPr>
      <w:tblGrid>
        <w:gridCol w:w="640"/>
        <w:gridCol w:w="2069"/>
        <w:gridCol w:w="4819"/>
        <w:gridCol w:w="1843"/>
      </w:tblGrid>
      <w:tr w:rsidR="00FD213E">
        <w:trPr>
          <w:trHeight w:val="585"/>
        </w:trPr>
        <w:tc>
          <w:tcPr>
            <w:tcW w:w="640" w:type="dxa"/>
            <w:tcBorders>
              <w:top w:val="single" w:sz="4" w:space="0" w:color="auto"/>
              <w:left w:val="single" w:sz="4" w:space="0" w:color="auto"/>
              <w:bottom w:val="single" w:sz="4" w:space="0" w:color="auto"/>
              <w:right w:val="single" w:sz="4" w:space="0" w:color="auto"/>
            </w:tcBorders>
            <w:vAlign w:val="center"/>
          </w:tcPr>
          <w:p w:rsidR="00FD213E" w:rsidRDefault="00B70083">
            <w:pPr>
              <w:widowControl/>
              <w:jc w:val="center"/>
              <w:rPr>
                <w:rFonts w:ascii="宋体" w:hAnsi="宋体" w:cs="宋体"/>
                <w:kern w:val="0"/>
                <w:sz w:val="24"/>
              </w:rPr>
            </w:pPr>
            <w:r>
              <w:rPr>
                <w:rFonts w:ascii="宋体" w:hAnsi="宋体" w:cs="宋体" w:hint="eastAsia"/>
                <w:kern w:val="0"/>
                <w:sz w:val="24"/>
              </w:rPr>
              <w:t>序号</w:t>
            </w:r>
          </w:p>
        </w:tc>
        <w:tc>
          <w:tcPr>
            <w:tcW w:w="2069" w:type="dxa"/>
            <w:tcBorders>
              <w:top w:val="single" w:sz="4" w:space="0" w:color="auto"/>
              <w:left w:val="single" w:sz="4" w:space="0" w:color="auto"/>
              <w:bottom w:val="single" w:sz="4" w:space="0" w:color="auto"/>
              <w:right w:val="single" w:sz="4" w:space="0" w:color="auto"/>
            </w:tcBorders>
            <w:vAlign w:val="center"/>
          </w:tcPr>
          <w:p w:rsidR="00FD213E" w:rsidRDefault="00B70083">
            <w:pPr>
              <w:widowControl/>
              <w:jc w:val="center"/>
              <w:rPr>
                <w:rFonts w:ascii="宋体" w:hAnsi="宋体" w:cs="宋体"/>
                <w:kern w:val="0"/>
                <w:sz w:val="24"/>
              </w:rPr>
            </w:pPr>
            <w:r>
              <w:rPr>
                <w:rFonts w:ascii="宋体" w:hAnsi="宋体" w:cs="宋体" w:hint="eastAsia"/>
                <w:kern w:val="0"/>
                <w:sz w:val="24"/>
              </w:rPr>
              <w:t>材料名称</w:t>
            </w:r>
          </w:p>
        </w:tc>
        <w:tc>
          <w:tcPr>
            <w:tcW w:w="4819" w:type="dxa"/>
            <w:tcBorders>
              <w:top w:val="single" w:sz="4" w:space="0" w:color="auto"/>
              <w:left w:val="single" w:sz="4" w:space="0" w:color="auto"/>
              <w:bottom w:val="single" w:sz="4" w:space="0" w:color="auto"/>
              <w:right w:val="single" w:sz="4" w:space="0" w:color="auto"/>
            </w:tcBorders>
            <w:vAlign w:val="center"/>
          </w:tcPr>
          <w:p w:rsidR="00FD213E" w:rsidRDefault="00B70083">
            <w:pPr>
              <w:widowControl/>
              <w:jc w:val="center"/>
              <w:rPr>
                <w:rFonts w:ascii="宋体" w:hAnsi="宋体" w:cs="宋体"/>
                <w:kern w:val="0"/>
                <w:sz w:val="24"/>
              </w:rPr>
            </w:pPr>
            <w:r>
              <w:rPr>
                <w:rFonts w:ascii="宋体" w:hAnsi="宋体" w:cs="宋体" w:hint="eastAsia"/>
                <w:kern w:val="0"/>
                <w:sz w:val="24"/>
              </w:rPr>
              <w:t>品 牌</w:t>
            </w:r>
          </w:p>
        </w:tc>
        <w:tc>
          <w:tcPr>
            <w:tcW w:w="1843" w:type="dxa"/>
            <w:tcBorders>
              <w:top w:val="single" w:sz="4" w:space="0" w:color="auto"/>
              <w:left w:val="single" w:sz="4" w:space="0" w:color="auto"/>
              <w:bottom w:val="single" w:sz="4" w:space="0" w:color="auto"/>
              <w:right w:val="single" w:sz="4" w:space="0" w:color="auto"/>
            </w:tcBorders>
            <w:vAlign w:val="center"/>
          </w:tcPr>
          <w:p w:rsidR="00FD213E" w:rsidRDefault="00B70083">
            <w:pPr>
              <w:widowControl/>
              <w:jc w:val="center"/>
              <w:rPr>
                <w:rFonts w:ascii="宋体" w:hAnsi="宋体" w:cs="宋体"/>
                <w:kern w:val="0"/>
                <w:sz w:val="24"/>
              </w:rPr>
            </w:pPr>
            <w:r>
              <w:rPr>
                <w:rFonts w:ascii="宋体" w:hAnsi="宋体" w:cs="宋体" w:hint="eastAsia"/>
                <w:kern w:val="0"/>
                <w:sz w:val="24"/>
              </w:rPr>
              <w:t>备注</w:t>
            </w:r>
          </w:p>
        </w:tc>
      </w:tr>
      <w:tr w:rsidR="00FD213E">
        <w:trPr>
          <w:trHeight w:val="585"/>
        </w:trPr>
        <w:tc>
          <w:tcPr>
            <w:tcW w:w="640" w:type="dxa"/>
            <w:tcBorders>
              <w:top w:val="single" w:sz="4" w:space="0" w:color="auto"/>
              <w:left w:val="single" w:sz="4" w:space="0" w:color="auto"/>
              <w:bottom w:val="single" w:sz="4" w:space="0" w:color="auto"/>
              <w:right w:val="single" w:sz="4" w:space="0" w:color="auto"/>
            </w:tcBorders>
            <w:vAlign w:val="center"/>
          </w:tcPr>
          <w:p w:rsidR="00FD213E" w:rsidRDefault="00B70083">
            <w:pPr>
              <w:widowControl/>
              <w:jc w:val="left"/>
              <w:rPr>
                <w:rFonts w:ascii="宋体" w:hAnsi="宋体" w:cs="宋体"/>
                <w:kern w:val="0"/>
                <w:sz w:val="24"/>
              </w:rPr>
            </w:pPr>
            <w:r>
              <w:rPr>
                <w:rFonts w:ascii="宋体" w:hAnsi="宋体" w:cs="宋体" w:hint="eastAsia"/>
                <w:kern w:val="0"/>
                <w:sz w:val="24"/>
              </w:rPr>
              <w:t>1</w:t>
            </w:r>
          </w:p>
        </w:tc>
        <w:tc>
          <w:tcPr>
            <w:tcW w:w="2069" w:type="dxa"/>
            <w:tcBorders>
              <w:top w:val="single" w:sz="4" w:space="0" w:color="auto"/>
              <w:left w:val="single" w:sz="4" w:space="0" w:color="auto"/>
              <w:bottom w:val="single" w:sz="4" w:space="0" w:color="auto"/>
              <w:right w:val="single" w:sz="4" w:space="0" w:color="auto"/>
            </w:tcBorders>
            <w:vAlign w:val="center"/>
          </w:tcPr>
          <w:p w:rsidR="00FD213E" w:rsidRDefault="00B70083">
            <w:pPr>
              <w:widowControl/>
              <w:jc w:val="center"/>
              <w:rPr>
                <w:rFonts w:ascii="宋体" w:hAnsi="宋体" w:cs="宋体"/>
                <w:color w:val="000000"/>
                <w:kern w:val="0"/>
                <w:sz w:val="24"/>
              </w:rPr>
            </w:pPr>
            <w:r>
              <w:rPr>
                <w:rFonts w:ascii="宋体" w:hAnsi="宋体" w:cs="宋体" w:hint="eastAsia"/>
                <w:color w:val="000000"/>
                <w:kern w:val="0"/>
                <w:sz w:val="24"/>
              </w:rPr>
              <w:t>内墙乳胶漆</w:t>
            </w:r>
          </w:p>
        </w:tc>
        <w:tc>
          <w:tcPr>
            <w:tcW w:w="4819" w:type="dxa"/>
            <w:tcBorders>
              <w:top w:val="single" w:sz="4" w:space="0" w:color="auto"/>
              <w:left w:val="single" w:sz="4" w:space="0" w:color="auto"/>
              <w:bottom w:val="single" w:sz="4" w:space="0" w:color="auto"/>
              <w:right w:val="single" w:sz="4" w:space="0" w:color="auto"/>
            </w:tcBorders>
          </w:tcPr>
          <w:p w:rsidR="00FD213E" w:rsidRDefault="00B70083">
            <w:pPr>
              <w:widowControl/>
              <w:jc w:val="center"/>
              <w:rPr>
                <w:rFonts w:ascii="宋体" w:hAnsi="宋体" w:cs="宋体"/>
                <w:color w:val="000000"/>
                <w:kern w:val="0"/>
                <w:sz w:val="24"/>
              </w:rPr>
            </w:pPr>
            <w:r>
              <w:rPr>
                <w:rFonts w:ascii="宋体" w:hAnsi="宋体" w:cs="宋体" w:hint="eastAsia"/>
                <w:color w:val="000000"/>
                <w:kern w:val="0"/>
                <w:sz w:val="24"/>
              </w:rPr>
              <w:t>光辉BC-102、上海立邦（金牌净味5合1系列）、雅士利或经建设方认可的上述同档次品牌</w:t>
            </w:r>
          </w:p>
        </w:tc>
        <w:tc>
          <w:tcPr>
            <w:tcW w:w="1843" w:type="dxa"/>
            <w:tcBorders>
              <w:top w:val="single" w:sz="4" w:space="0" w:color="auto"/>
              <w:left w:val="single" w:sz="4" w:space="0" w:color="auto"/>
              <w:bottom w:val="single" w:sz="4" w:space="0" w:color="auto"/>
              <w:right w:val="single" w:sz="4" w:space="0" w:color="auto"/>
            </w:tcBorders>
            <w:vAlign w:val="center"/>
          </w:tcPr>
          <w:p w:rsidR="00FD213E" w:rsidRDefault="00B70083">
            <w:pPr>
              <w:widowControl/>
              <w:ind w:leftChars="-51" w:left="-107" w:firstLineChars="51" w:firstLine="122"/>
              <w:jc w:val="left"/>
              <w:rPr>
                <w:rFonts w:ascii="宋体" w:hAnsi="宋体" w:cs="宋体"/>
                <w:kern w:val="0"/>
                <w:sz w:val="24"/>
              </w:rPr>
            </w:pPr>
            <w:r>
              <w:rPr>
                <w:rFonts w:ascii="宋体" w:hAnsi="宋体" w:cs="宋体" w:hint="eastAsia"/>
                <w:kern w:val="0"/>
                <w:sz w:val="24"/>
              </w:rPr>
              <w:t>施工现场必须是原装18L或25L每桶</w:t>
            </w:r>
          </w:p>
        </w:tc>
      </w:tr>
      <w:tr w:rsidR="00FD213E">
        <w:trPr>
          <w:trHeight w:val="1375"/>
        </w:trPr>
        <w:tc>
          <w:tcPr>
            <w:tcW w:w="640" w:type="dxa"/>
            <w:tcBorders>
              <w:top w:val="single" w:sz="4" w:space="0" w:color="auto"/>
              <w:left w:val="single" w:sz="4" w:space="0" w:color="auto"/>
              <w:bottom w:val="single" w:sz="4" w:space="0" w:color="auto"/>
              <w:right w:val="single" w:sz="4" w:space="0" w:color="auto"/>
            </w:tcBorders>
            <w:vAlign w:val="center"/>
          </w:tcPr>
          <w:p w:rsidR="00FD213E" w:rsidRDefault="001E43D2">
            <w:pPr>
              <w:widowControl/>
              <w:jc w:val="left"/>
              <w:rPr>
                <w:rFonts w:ascii="宋体" w:hAnsi="宋体" w:cs="宋体"/>
                <w:kern w:val="0"/>
                <w:sz w:val="24"/>
              </w:rPr>
            </w:pPr>
            <w:r>
              <w:rPr>
                <w:rFonts w:ascii="宋体" w:hAnsi="宋体" w:cs="宋体" w:hint="eastAsia"/>
                <w:kern w:val="0"/>
                <w:sz w:val="24"/>
              </w:rPr>
              <w:t>2</w:t>
            </w:r>
          </w:p>
        </w:tc>
        <w:tc>
          <w:tcPr>
            <w:tcW w:w="2069" w:type="dxa"/>
            <w:tcBorders>
              <w:top w:val="single" w:sz="4" w:space="0" w:color="auto"/>
              <w:left w:val="single" w:sz="4" w:space="0" w:color="auto"/>
              <w:bottom w:val="single" w:sz="4" w:space="0" w:color="auto"/>
              <w:right w:val="single" w:sz="4" w:space="0" w:color="auto"/>
            </w:tcBorders>
            <w:vAlign w:val="center"/>
          </w:tcPr>
          <w:p w:rsidR="00FD213E" w:rsidRDefault="00B70083">
            <w:pPr>
              <w:widowControl/>
              <w:jc w:val="center"/>
              <w:rPr>
                <w:rFonts w:ascii="宋体" w:hAnsi="宋体" w:cs="宋体"/>
                <w:color w:val="000000"/>
                <w:kern w:val="0"/>
                <w:sz w:val="24"/>
              </w:rPr>
            </w:pPr>
            <w:r>
              <w:rPr>
                <w:rFonts w:ascii="宋体" w:hAnsi="宋体" w:cs="宋体" w:hint="eastAsia"/>
                <w:color w:val="000000"/>
                <w:kern w:val="0"/>
                <w:sz w:val="24"/>
              </w:rPr>
              <w:t>外墙弹性涂料</w:t>
            </w:r>
          </w:p>
        </w:tc>
        <w:tc>
          <w:tcPr>
            <w:tcW w:w="4819" w:type="dxa"/>
            <w:tcBorders>
              <w:top w:val="single" w:sz="4" w:space="0" w:color="auto"/>
              <w:left w:val="single" w:sz="4" w:space="0" w:color="auto"/>
              <w:bottom w:val="single" w:sz="4" w:space="0" w:color="auto"/>
              <w:right w:val="single" w:sz="4" w:space="0" w:color="auto"/>
            </w:tcBorders>
          </w:tcPr>
          <w:p w:rsidR="00FD213E" w:rsidRDefault="00B70083">
            <w:pPr>
              <w:widowControl/>
              <w:jc w:val="center"/>
              <w:rPr>
                <w:rFonts w:ascii="宋体" w:hAnsi="宋体" w:cs="宋体"/>
                <w:color w:val="000000"/>
                <w:kern w:val="0"/>
                <w:sz w:val="24"/>
              </w:rPr>
            </w:pPr>
            <w:r>
              <w:rPr>
                <w:rFonts w:ascii="宋体" w:hAnsi="宋体" w:cs="宋体" w:hint="eastAsia"/>
                <w:color w:val="000000"/>
                <w:kern w:val="0"/>
                <w:sz w:val="24"/>
              </w:rPr>
              <w:t>猴王涂料（常州）有限公司、晨光涂料（常州）有限公司： CHG350型外墙乳胶漆、立邦涂料（上海）有限公司或经建设方认可的上述同档次品牌</w:t>
            </w:r>
          </w:p>
        </w:tc>
        <w:tc>
          <w:tcPr>
            <w:tcW w:w="1843" w:type="dxa"/>
            <w:tcBorders>
              <w:top w:val="single" w:sz="4" w:space="0" w:color="auto"/>
              <w:left w:val="single" w:sz="4" w:space="0" w:color="auto"/>
              <w:bottom w:val="single" w:sz="4" w:space="0" w:color="auto"/>
              <w:right w:val="single" w:sz="4" w:space="0" w:color="auto"/>
            </w:tcBorders>
            <w:vAlign w:val="center"/>
          </w:tcPr>
          <w:p w:rsidR="00FD213E" w:rsidRDefault="00B70083">
            <w:pPr>
              <w:widowControl/>
              <w:ind w:leftChars="-51" w:left="-107" w:firstLineChars="51" w:firstLine="122"/>
              <w:jc w:val="left"/>
              <w:rPr>
                <w:rFonts w:ascii="宋体" w:hAnsi="宋体" w:cs="宋体"/>
                <w:kern w:val="0"/>
                <w:sz w:val="24"/>
              </w:rPr>
            </w:pPr>
            <w:r>
              <w:rPr>
                <w:rFonts w:ascii="宋体" w:hAnsi="宋体" w:cs="宋体" w:hint="eastAsia"/>
                <w:kern w:val="0"/>
                <w:sz w:val="24"/>
              </w:rPr>
              <w:t>施工现场必须是原装18L或25L每桶</w:t>
            </w:r>
          </w:p>
        </w:tc>
      </w:tr>
      <w:tr w:rsidR="00FD213E">
        <w:trPr>
          <w:trHeight w:val="585"/>
        </w:trPr>
        <w:tc>
          <w:tcPr>
            <w:tcW w:w="640" w:type="dxa"/>
            <w:tcBorders>
              <w:top w:val="single" w:sz="4" w:space="0" w:color="auto"/>
              <w:left w:val="single" w:sz="4" w:space="0" w:color="auto"/>
              <w:bottom w:val="single" w:sz="4" w:space="0" w:color="auto"/>
              <w:right w:val="single" w:sz="4" w:space="0" w:color="auto"/>
            </w:tcBorders>
            <w:vAlign w:val="center"/>
          </w:tcPr>
          <w:p w:rsidR="00FD213E" w:rsidRDefault="00B70083">
            <w:pPr>
              <w:widowControl/>
              <w:jc w:val="left"/>
              <w:rPr>
                <w:rFonts w:ascii="宋体" w:hAnsi="宋体" w:cs="宋体"/>
                <w:kern w:val="0"/>
                <w:sz w:val="24"/>
              </w:rPr>
            </w:pPr>
            <w:r>
              <w:rPr>
                <w:rFonts w:ascii="宋体" w:hAnsi="宋体" w:cs="宋体" w:hint="eastAsia"/>
                <w:kern w:val="0"/>
                <w:sz w:val="24"/>
              </w:rPr>
              <w:t>4</w:t>
            </w:r>
          </w:p>
        </w:tc>
        <w:tc>
          <w:tcPr>
            <w:tcW w:w="2069" w:type="dxa"/>
            <w:tcBorders>
              <w:top w:val="single" w:sz="4" w:space="0" w:color="auto"/>
              <w:left w:val="single" w:sz="4" w:space="0" w:color="auto"/>
              <w:bottom w:val="single" w:sz="4" w:space="0" w:color="auto"/>
              <w:right w:val="single" w:sz="4" w:space="0" w:color="auto"/>
            </w:tcBorders>
          </w:tcPr>
          <w:p w:rsidR="00FD213E" w:rsidRDefault="00B70083">
            <w:pPr>
              <w:widowControl/>
              <w:jc w:val="center"/>
              <w:rPr>
                <w:rFonts w:ascii="宋体" w:hAnsi="宋体" w:cs="宋体"/>
                <w:kern w:val="0"/>
                <w:sz w:val="24"/>
              </w:rPr>
            </w:pPr>
            <w:r>
              <w:rPr>
                <w:rFonts w:ascii="宋体" w:hAnsi="宋体" w:cs="宋体" w:hint="eastAsia"/>
                <w:kern w:val="0"/>
                <w:sz w:val="24"/>
              </w:rPr>
              <w:t>细木工板（含三、五、九厘等所有板）、免漆板、木门套、饰面板</w:t>
            </w:r>
          </w:p>
        </w:tc>
        <w:tc>
          <w:tcPr>
            <w:tcW w:w="4819" w:type="dxa"/>
            <w:tcBorders>
              <w:top w:val="single" w:sz="4" w:space="0" w:color="auto"/>
              <w:left w:val="single" w:sz="4" w:space="0" w:color="auto"/>
              <w:bottom w:val="single" w:sz="4" w:space="0" w:color="auto"/>
              <w:right w:val="single" w:sz="4" w:space="0" w:color="auto"/>
            </w:tcBorders>
            <w:vAlign w:val="center"/>
          </w:tcPr>
          <w:p w:rsidR="00FD213E" w:rsidRDefault="00B70083">
            <w:pPr>
              <w:widowControl/>
              <w:jc w:val="center"/>
              <w:rPr>
                <w:rFonts w:ascii="宋体" w:hAnsi="宋体" w:cs="宋体"/>
                <w:kern w:val="0"/>
                <w:sz w:val="24"/>
              </w:rPr>
            </w:pPr>
            <w:r>
              <w:rPr>
                <w:rFonts w:ascii="宋体" w:hAnsi="宋体" w:cs="宋体" w:hint="eastAsia"/>
                <w:kern w:val="0"/>
                <w:sz w:val="24"/>
              </w:rPr>
              <w:t>兔宝宝、莫干山、大王椰或经建设方认可的上述同档次品牌</w:t>
            </w:r>
          </w:p>
        </w:tc>
        <w:tc>
          <w:tcPr>
            <w:tcW w:w="1843" w:type="dxa"/>
            <w:tcBorders>
              <w:top w:val="single" w:sz="4" w:space="0" w:color="auto"/>
              <w:left w:val="single" w:sz="4" w:space="0" w:color="auto"/>
              <w:bottom w:val="single" w:sz="4" w:space="0" w:color="auto"/>
              <w:right w:val="single" w:sz="4" w:space="0" w:color="auto"/>
            </w:tcBorders>
            <w:vAlign w:val="center"/>
          </w:tcPr>
          <w:p w:rsidR="00FD213E" w:rsidRDefault="00B70083">
            <w:pPr>
              <w:widowControl/>
              <w:ind w:leftChars="-51" w:left="-107" w:firstLineChars="51" w:firstLine="122"/>
              <w:jc w:val="left"/>
              <w:rPr>
                <w:rFonts w:ascii="宋体" w:hAnsi="宋体" w:cs="宋体"/>
                <w:kern w:val="0"/>
                <w:sz w:val="24"/>
              </w:rPr>
            </w:pPr>
            <w:r>
              <w:rPr>
                <w:rFonts w:ascii="宋体" w:hAnsi="宋体" w:cs="宋体" w:hint="eastAsia"/>
                <w:kern w:val="0"/>
                <w:sz w:val="24"/>
              </w:rPr>
              <w:t>E0级</w:t>
            </w:r>
          </w:p>
        </w:tc>
      </w:tr>
      <w:tr w:rsidR="00FD213E">
        <w:trPr>
          <w:trHeight w:val="585"/>
        </w:trPr>
        <w:tc>
          <w:tcPr>
            <w:tcW w:w="640" w:type="dxa"/>
            <w:tcBorders>
              <w:top w:val="single" w:sz="4" w:space="0" w:color="auto"/>
              <w:left w:val="single" w:sz="4" w:space="0" w:color="auto"/>
              <w:bottom w:val="single" w:sz="4" w:space="0" w:color="auto"/>
              <w:right w:val="single" w:sz="4" w:space="0" w:color="auto"/>
            </w:tcBorders>
            <w:vAlign w:val="center"/>
          </w:tcPr>
          <w:p w:rsidR="00FD213E" w:rsidRDefault="00B70083">
            <w:pPr>
              <w:widowControl/>
              <w:jc w:val="left"/>
              <w:rPr>
                <w:rFonts w:ascii="宋体" w:hAnsi="宋体" w:cs="宋体"/>
                <w:kern w:val="0"/>
                <w:sz w:val="24"/>
              </w:rPr>
            </w:pPr>
            <w:r>
              <w:rPr>
                <w:rFonts w:ascii="宋体" w:hAnsi="宋体" w:cs="宋体" w:hint="eastAsia"/>
                <w:kern w:val="0"/>
                <w:sz w:val="24"/>
              </w:rPr>
              <w:lastRenderedPageBreak/>
              <w:t>5</w:t>
            </w:r>
          </w:p>
        </w:tc>
        <w:tc>
          <w:tcPr>
            <w:tcW w:w="2069" w:type="dxa"/>
            <w:tcBorders>
              <w:top w:val="single" w:sz="4" w:space="0" w:color="auto"/>
              <w:left w:val="single" w:sz="4" w:space="0" w:color="auto"/>
              <w:bottom w:val="single" w:sz="4" w:space="0" w:color="auto"/>
              <w:right w:val="single" w:sz="4" w:space="0" w:color="auto"/>
            </w:tcBorders>
            <w:vAlign w:val="center"/>
          </w:tcPr>
          <w:p w:rsidR="00FD213E" w:rsidRDefault="00B70083">
            <w:pPr>
              <w:widowControl/>
              <w:jc w:val="center"/>
              <w:rPr>
                <w:rFonts w:ascii="宋体" w:hAnsi="宋体" w:cs="宋体"/>
                <w:color w:val="000000"/>
                <w:kern w:val="0"/>
                <w:sz w:val="24"/>
              </w:rPr>
            </w:pPr>
            <w:r>
              <w:rPr>
                <w:rFonts w:ascii="宋体" w:hAnsi="宋体" w:cs="宋体" w:hint="eastAsia"/>
                <w:color w:val="000000"/>
                <w:kern w:val="0"/>
                <w:sz w:val="24"/>
              </w:rPr>
              <w:t>镀锌轻钢龙骨</w:t>
            </w:r>
          </w:p>
        </w:tc>
        <w:tc>
          <w:tcPr>
            <w:tcW w:w="4819" w:type="dxa"/>
            <w:tcBorders>
              <w:top w:val="single" w:sz="4" w:space="0" w:color="auto"/>
              <w:left w:val="single" w:sz="4" w:space="0" w:color="auto"/>
              <w:bottom w:val="single" w:sz="4" w:space="0" w:color="auto"/>
              <w:right w:val="single" w:sz="4" w:space="0" w:color="auto"/>
            </w:tcBorders>
            <w:vAlign w:val="center"/>
          </w:tcPr>
          <w:p w:rsidR="00FD213E" w:rsidRDefault="00B70083">
            <w:pPr>
              <w:widowControl/>
              <w:jc w:val="center"/>
              <w:rPr>
                <w:rFonts w:ascii="宋体" w:hAnsi="宋体" w:cs="宋体"/>
                <w:color w:val="000000"/>
                <w:kern w:val="0"/>
                <w:sz w:val="24"/>
              </w:rPr>
            </w:pPr>
            <w:r>
              <w:rPr>
                <w:rFonts w:ascii="宋体" w:hAnsi="宋体" w:cs="宋体" w:hint="eastAsia"/>
                <w:color w:val="000000"/>
                <w:kern w:val="0"/>
                <w:sz w:val="24"/>
              </w:rPr>
              <w:t>拉法基、龙牌、可耐福或经建设方认可的上述同档次品牌</w:t>
            </w:r>
          </w:p>
        </w:tc>
        <w:tc>
          <w:tcPr>
            <w:tcW w:w="1843" w:type="dxa"/>
            <w:tcBorders>
              <w:top w:val="single" w:sz="4" w:space="0" w:color="auto"/>
              <w:left w:val="single" w:sz="4" w:space="0" w:color="auto"/>
              <w:bottom w:val="single" w:sz="4" w:space="0" w:color="auto"/>
              <w:right w:val="single" w:sz="4" w:space="0" w:color="auto"/>
            </w:tcBorders>
            <w:vAlign w:val="center"/>
          </w:tcPr>
          <w:p w:rsidR="00FD213E" w:rsidRDefault="00B70083">
            <w:pPr>
              <w:widowControl/>
              <w:ind w:leftChars="-51" w:left="-107" w:firstLineChars="51" w:firstLine="122"/>
              <w:jc w:val="left"/>
              <w:rPr>
                <w:rFonts w:ascii="宋体" w:hAnsi="宋体" w:cs="宋体"/>
                <w:kern w:val="0"/>
                <w:sz w:val="24"/>
              </w:rPr>
            </w:pPr>
            <w:r>
              <w:rPr>
                <w:rFonts w:ascii="宋体" w:hAnsi="宋体" w:cs="宋体" w:hint="eastAsia"/>
                <w:kern w:val="0"/>
                <w:sz w:val="24"/>
              </w:rPr>
              <w:t xml:space="preserve">　</w:t>
            </w:r>
          </w:p>
        </w:tc>
      </w:tr>
      <w:tr w:rsidR="00FD213E">
        <w:trPr>
          <w:trHeight w:val="582"/>
        </w:trPr>
        <w:tc>
          <w:tcPr>
            <w:tcW w:w="640" w:type="dxa"/>
            <w:tcBorders>
              <w:top w:val="single" w:sz="4" w:space="0" w:color="auto"/>
              <w:left w:val="single" w:sz="4" w:space="0" w:color="auto"/>
              <w:bottom w:val="single" w:sz="4" w:space="0" w:color="auto"/>
              <w:right w:val="single" w:sz="4" w:space="0" w:color="auto"/>
            </w:tcBorders>
            <w:vAlign w:val="center"/>
          </w:tcPr>
          <w:p w:rsidR="00FD213E" w:rsidRDefault="00B70083">
            <w:pPr>
              <w:widowControl/>
              <w:jc w:val="left"/>
              <w:rPr>
                <w:rFonts w:ascii="宋体" w:hAnsi="宋体" w:cs="宋体"/>
                <w:kern w:val="0"/>
                <w:sz w:val="24"/>
              </w:rPr>
            </w:pPr>
            <w:r>
              <w:rPr>
                <w:rFonts w:ascii="宋体" w:hAnsi="宋体" w:cs="宋体" w:hint="eastAsia"/>
                <w:kern w:val="0"/>
                <w:sz w:val="24"/>
              </w:rPr>
              <w:t>6</w:t>
            </w:r>
          </w:p>
        </w:tc>
        <w:tc>
          <w:tcPr>
            <w:tcW w:w="2069" w:type="dxa"/>
            <w:tcBorders>
              <w:top w:val="single" w:sz="4" w:space="0" w:color="auto"/>
              <w:left w:val="single" w:sz="4" w:space="0" w:color="auto"/>
              <w:bottom w:val="single" w:sz="4" w:space="0" w:color="auto"/>
              <w:right w:val="single" w:sz="4" w:space="0" w:color="auto"/>
            </w:tcBorders>
            <w:vAlign w:val="center"/>
          </w:tcPr>
          <w:p w:rsidR="00FD213E" w:rsidRDefault="00B70083">
            <w:pPr>
              <w:widowControl/>
              <w:jc w:val="center"/>
              <w:rPr>
                <w:rFonts w:ascii="宋体" w:hAnsi="宋体" w:cs="宋体"/>
                <w:color w:val="000000"/>
                <w:kern w:val="0"/>
                <w:sz w:val="24"/>
              </w:rPr>
            </w:pPr>
            <w:r>
              <w:rPr>
                <w:rFonts w:ascii="宋体" w:hAnsi="宋体" w:cs="宋体" w:hint="eastAsia"/>
                <w:color w:val="000000"/>
                <w:kern w:val="0"/>
                <w:sz w:val="24"/>
              </w:rPr>
              <w:t>纸面石膏板</w:t>
            </w:r>
          </w:p>
        </w:tc>
        <w:tc>
          <w:tcPr>
            <w:tcW w:w="4819" w:type="dxa"/>
            <w:tcBorders>
              <w:top w:val="single" w:sz="4" w:space="0" w:color="auto"/>
              <w:left w:val="single" w:sz="4" w:space="0" w:color="auto"/>
              <w:bottom w:val="single" w:sz="4" w:space="0" w:color="auto"/>
              <w:right w:val="single" w:sz="4" w:space="0" w:color="auto"/>
            </w:tcBorders>
            <w:vAlign w:val="center"/>
          </w:tcPr>
          <w:p w:rsidR="00FD213E" w:rsidRDefault="00B70083">
            <w:pPr>
              <w:widowControl/>
              <w:jc w:val="center"/>
              <w:rPr>
                <w:rFonts w:ascii="宋体" w:hAnsi="宋体" w:cs="宋体"/>
                <w:color w:val="000000"/>
                <w:kern w:val="0"/>
                <w:sz w:val="24"/>
              </w:rPr>
            </w:pPr>
            <w:r>
              <w:rPr>
                <w:rFonts w:ascii="宋体" w:hAnsi="宋体" w:cs="宋体" w:hint="eastAsia"/>
                <w:color w:val="000000"/>
                <w:kern w:val="0"/>
                <w:sz w:val="24"/>
              </w:rPr>
              <w:t>拉法基、龙牌、可耐福、泰山或经建设方认可的上述同档次品牌</w:t>
            </w:r>
          </w:p>
        </w:tc>
        <w:tc>
          <w:tcPr>
            <w:tcW w:w="1843" w:type="dxa"/>
            <w:tcBorders>
              <w:top w:val="single" w:sz="4" w:space="0" w:color="auto"/>
              <w:left w:val="single" w:sz="4" w:space="0" w:color="auto"/>
              <w:bottom w:val="single" w:sz="4" w:space="0" w:color="auto"/>
              <w:right w:val="single" w:sz="4" w:space="0" w:color="auto"/>
            </w:tcBorders>
            <w:vAlign w:val="center"/>
          </w:tcPr>
          <w:p w:rsidR="00FD213E" w:rsidRDefault="00B70083">
            <w:pPr>
              <w:widowControl/>
              <w:ind w:leftChars="-51" w:left="-107" w:firstLineChars="51" w:firstLine="122"/>
              <w:jc w:val="left"/>
              <w:rPr>
                <w:rFonts w:ascii="宋体" w:hAnsi="宋体" w:cs="宋体"/>
                <w:kern w:val="0"/>
                <w:sz w:val="24"/>
              </w:rPr>
            </w:pPr>
            <w:r>
              <w:rPr>
                <w:rFonts w:ascii="宋体" w:hAnsi="宋体" w:cs="宋体" w:hint="eastAsia"/>
                <w:kern w:val="0"/>
                <w:sz w:val="24"/>
              </w:rPr>
              <w:t xml:space="preserve">　</w:t>
            </w:r>
          </w:p>
        </w:tc>
      </w:tr>
      <w:tr w:rsidR="00FD213E">
        <w:trPr>
          <w:trHeight w:val="582"/>
        </w:trPr>
        <w:tc>
          <w:tcPr>
            <w:tcW w:w="640" w:type="dxa"/>
            <w:tcBorders>
              <w:top w:val="single" w:sz="4" w:space="0" w:color="auto"/>
              <w:left w:val="single" w:sz="4" w:space="0" w:color="auto"/>
              <w:bottom w:val="single" w:sz="4" w:space="0" w:color="auto"/>
              <w:right w:val="single" w:sz="4" w:space="0" w:color="auto"/>
            </w:tcBorders>
            <w:vAlign w:val="center"/>
          </w:tcPr>
          <w:p w:rsidR="00FD213E" w:rsidRDefault="00B70083">
            <w:pPr>
              <w:widowControl/>
              <w:jc w:val="left"/>
              <w:rPr>
                <w:rFonts w:ascii="宋体" w:hAnsi="宋体" w:cs="宋体"/>
                <w:kern w:val="0"/>
                <w:sz w:val="24"/>
              </w:rPr>
            </w:pPr>
            <w:r>
              <w:rPr>
                <w:rFonts w:ascii="宋体" w:hAnsi="宋体" w:cs="宋体" w:hint="eastAsia"/>
                <w:kern w:val="0"/>
                <w:sz w:val="24"/>
              </w:rPr>
              <w:t>8</w:t>
            </w:r>
          </w:p>
        </w:tc>
        <w:tc>
          <w:tcPr>
            <w:tcW w:w="2069" w:type="dxa"/>
            <w:tcBorders>
              <w:top w:val="single" w:sz="4" w:space="0" w:color="auto"/>
              <w:left w:val="single" w:sz="4" w:space="0" w:color="auto"/>
              <w:bottom w:val="single" w:sz="4" w:space="0" w:color="auto"/>
              <w:right w:val="single" w:sz="4" w:space="0" w:color="auto"/>
            </w:tcBorders>
            <w:vAlign w:val="center"/>
          </w:tcPr>
          <w:p w:rsidR="00FD213E" w:rsidRDefault="00B70083">
            <w:pPr>
              <w:widowControl/>
              <w:jc w:val="center"/>
              <w:rPr>
                <w:rFonts w:ascii="宋体" w:hAnsi="宋体" w:cs="宋体"/>
                <w:color w:val="000000"/>
                <w:sz w:val="24"/>
              </w:rPr>
            </w:pPr>
            <w:r>
              <w:rPr>
                <w:rFonts w:ascii="宋体" w:hAnsi="宋体" w:cs="宋体" w:hint="eastAsia"/>
                <w:color w:val="000000"/>
                <w:sz w:val="24"/>
              </w:rPr>
              <w:t>墙地砖</w:t>
            </w:r>
          </w:p>
        </w:tc>
        <w:tc>
          <w:tcPr>
            <w:tcW w:w="4819" w:type="dxa"/>
            <w:tcBorders>
              <w:top w:val="single" w:sz="4" w:space="0" w:color="auto"/>
              <w:left w:val="single" w:sz="4" w:space="0" w:color="auto"/>
              <w:bottom w:val="single" w:sz="4" w:space="0" w:color="auto"/>
              <w:right w:val="single" w:sz="4" w:space="0" w:color="auto"/>
            </w:tcBorders>
            <w:vAlign w:val="center"/>
          </w:tcPr>
          <w:p w:rsidR="00FD213E" w:rsidRDefault="00B70083">
            <w:pPr>
              <w:widowControl/>
              <w:jc w:val="center"/>
              <w:rPr>
                <w:rFonts w:ascii="宋体" w:hAnsi="宋体" w:cs="宋体"/>
                <w:color w:val="000000"/>
                <w:kern w:val="0"/>
                <w:sz w:val="24"/>
              </w:rPr>
            </w:pPr>
            <w:r>
              <w:rPr>
                <w:rFonts w:ascii="宋体" w:hAnsi="宋体" w:cs="宋体" w:hint="eastAsia"/>
                <w:color w:val="000000"/>
                <w:kern w:val="0"/>
                <w:sz w:val="24"/>
              </w:rPr>
              <w:t>展鹏、骏程、百特或经建设方认可的上述同档次品牌</w:t>
            </w:r>
          </w:p>
        </w:tc>
        <w:tc>
          <w:tcPr>
            <w:tcW w:w="1843" w:type="dxa"/>
            <w:tcBorders>
              <w:top w:val="single" w:sz="4" w:space="0" w:color="auto"/>
              <w:left w:val="single" w:sz="4" w:space="0" w:color="auto"/>
              <w:bottom w:val="single" w:sz="4" w:space="0" w:color="auto"/>
              <w:right w:val="single" w:sz="4" w:space="0" w:color="auto"/>
            </w:tcBorders>
            <w:vAlign w:val="center"/>
          </w:tcPr>
          <w:p w:rsidR="00FD213E" w:rsidRDefault="00B70083">
            <w:pPr>
              <w:widowControl/>
              <w:ind w:leftChars="-51" w:left="-107" w:firstLineChars="51" w:firstLine="122"/>
              <w:jc w:val="left"/>
              <w:rPr>
                <w:rFonts w:ascii="宋体" w:hAnsi="宋体" w:cs="宋体"/>
                <w:kern w:val="0"/>
                <w:sz w:val="24"/>
              </w:rPr>
            </w:pPr>
            <w:r>
              <w:rPr>
                <w:rFonts w:ascii="宋体" w:hAnsi="宋体" w:cs="宋体" w:hint="eastAsia"/>
                <w:kern w:val="0"/>
                <w:sz w:val="24"/>
              </w:rPr>
              <w:t>品牌发源地生产</w:t>
            </w:r>
          </w:p>
        </w:tc>
      </w:tr>
      <w:tr w:rsidR="00FD213E">
        <w:trPr>
          <w:trHeight w:val="734"/>
        </w:trPr>
        <w:tc>
          <w:tcPr>
            <w:tcW w:w="640" w:type="dxa"/>
            <w:tcBorders>
              <w:top w:val="single" w:sz="4" w:space="0" w:color="auto"/>
              <w:left w:val="single" w:sz="4" w:space="0" w:color="auto"/>
              <w:bottom w:val="single" w:sz="4" w:space="0" w:color="auto"/>
              <w:right w:val="single" w:sz="4" w:space="0" w:color="auto"/>
            </w:tcBorders>
            <w:vAlign w:val="center"/>
          </w:tcPr>
          <w:p w:rsidR="00FD213E" w:rsidRDefault="00B70083">
            <w:pPr>
              <w:widowControl/>
              <w:jc w:val="left"/>
              <w:rPr>
                <w:rFonts w:ascii="宋体" w:hAnsi="宋体" w:cs="宋体"/>
                <w:kern w:val="0"/>
                <w:sz w:val="24"/>
              </w:rPr>
            </w:pPr>
            <w:r>
              <w:rPr>
                <w:rFonts w:ascii="宋体" w:hAnsi="宋体" w:cs="宋体" w:hint="eastAsia"/>
                <w:kern w:val="0"/>
                <w:sz w:val="24"/>
              </w:rPr>
              <w:t>9</w:t>
            </w:r>
          </w:p>
        </w:tc>
        <w:tc>
          <w:tcPr>
            <w:tcW w:w="2069" w:type="dxa"/>
            <w:tcBorders>
              <w:top w:val="single" w:sz="4" w:space="0" w:color="auto"/>
              <w:left w:val="single" w:sz="4" w:space="0" w:color="auto"/>
              <w:bottom w:val="single" w:sz="4" w:space="0" w:color="auto"/>
              <w:right w:val="single" w:sz="4" w:space="0" w:color="auto"/>
            </w:tcBorders>
            <w:vAlign w:val="center"/>
          </w:tcPr>
          <w:p w:rsidR="00FD213E" w:rsidRDefault="00B70083">
            <w:pPr>
              <w:widowControl/>
              <w:jc w:val="center"/>
              <w:rPr>
                <w:rFonts w:ascii="宋体" w:hAnsi="宋体" w:cs="宋体"/>
                <w:kern w:val="0"/>
                <w:sz w:val="24"/>
              </w:rPr>
            </w:pPr>
            <w:r>
              <w:rPr>
                <w:rFonts w:ascii="宋体" w:hAnsi="宋体" w:cs="宋体" w:hint="eastAsia"/>
                <w:kern w:val="0"/>
                <w:sz w:val="24"/>
              </w:rPr>
              <w:t>成品实木复合木门</w:t>
            </w:r>
          </w:p>
        </w:tc>
        <w:tc>
          <w:tcPr>
            <w:tcW w:w="4819" w:type="dxa"/>
            <w:tcBorders>
              <w:top w:val="single" w:sz="4" w:space="0" w:color="auto"/>
              <w:left w:val="single" w:sz="4" w:space="0" w:color="auto"/>
              <w:bottom w:val="single" w:sz="4" w:space="0" w:color="auto"/>
              <w:right w:val="single" w:sz="4" w:space="0" w:color="auto"/>
            </w:tcBorders>
            <w:vAlign w:val="center"/>
          </w:tcPr>
          <w:p w:rsidR="00FD213E" w:rsidRDefault="00B70083">
            <w:pPr>
              <w:widowControl/>
              <w:jc w:val="center"/>
              <w:rPr>
                <w:rFonts w:ascii="宋体" w:hAnsi="宋体" w:cs="宋体"/>
                <w:kern w:val="0"/>
                <w:sz w:val="24"/>
              </w:rPr>
            </w:pPr>
            <w:r>
              <w:rPr>
                <w:rFonts w:ascii="宋体" w:hAnsi="宋体" w:cs="宋体" w:hint="eastAsia"/>
                <w:kern w:val="0"/>
                <w:sz w:val="24"/>
              </w:rPr>
              <w:t>美心·家美、肯帝亚、3D、TATA或经建设方认可的上述同档次品牌</w:t>
            </w:r>
          </w:p>
        </w:tc>
        <w:tc>
          <w:tcPr>
            <w:tcW w:w="1843" w:type="dxa"/>
            <w:tcBorders>
              <w:top w:val="single" w:sz="4" w:space="0" w:color="auto"/>
              <w:left w:val="single" w:sz="4" w:space="0" w:color="auto"/>
              <w:bottom w:val="single" w:sz="4" w:space="0" w:color="auto"/>
              <w:right w:val="single" w:sz="4" w:space="0" w:color="auto"/>
            </w:tcBorders>
            <w:vAlign w:val="center"/>
          </w:tcPr>
          <w:p w:rsidR="00FD213E" w:rsidRDefault="00FD213E">
            <w:pPr>
              <w:widowControl/>
              <w:ind w:leftChars="-51" w:left="-107"/>
              <w:rPr>
                <w:rFonts w:ascii="宋体" w:hAnsi="宋体" w:cs="宋体"/>
                <w:kern w:val="0"/>
                <w:sz w:val="24"/>
              </w:rPr>
            </w:pPr>
          </w:p>
        </w:tc>
      </w:tr>
      <w:tr w:rsidR="00FD213E">
        <w:trPr>
          <w:trHeight w:val="664"/>
        </w:trPr>
        <w:tc>
          <w:tcPr>
            <w:tcW w:w="640" w:type="dxa"/>
            <w:tcBorders>
              <w:top w:val="single" w:sz="4" w:space="0" w:color="auto"/>
              <w:left w:val="single" w:sz="4" w:space="0" w:color="auto"/>
              <w:bottom w:val="single" w:sz="4" w:space="0" w:color="auto"/>
              <w:right w:val="single" w:sz="4" w:space="0" w:color="auto"/>
            </w:tcBorders>
            <w:vAlign w:val="center"/>
          </w:tcPr>
          <w:p w:rsidR="00FD213E" w:rsidRDefault="00B70083">
            <w:pPr>
              <w:widowControl/>
              <w:jc w:val="left"/>
              <w:rPr>
                <w:rFonts w:ascii="宋体" w:hAnsi="宋体" w:cs="宋体"/>
                <w:sz w:val="24"/>
              </w:rPr>
            </w:pPr>
            <w:r>
              <w:rPr>
                <w:rFonts w:ascii="宋体" w:hAnsi="宋体" w:cs="宋体" w:hint="eastAsia"/>
                <w:sz w:val="24"/>
              </w:rPr>
              <w:t>21</w:t>
            </w:r>
          </w:p>
        </w:tc>
        <w:tc>
          <w:tcPr>
            <w:tcW w:w="2069" w:type="dxa"/>
            <w:tcBorders>
              <w:top w:val="single" w:sz="4" w:space="0" w:color="auto"/>
              <w:left w:val="single" w:sz="4" w:space="0" w:color="auto"/>
              <w:bottom w:val="single" w:sz="4" w:space="0" w:color="auto"/>
              <w:right w:val="single" w:sz="4" w:space="0" w:color="auto"/>
            </w:tcBorders>
            <w:vAlign w:val="center"/>
          </w:tcPr>
          <w:p w:rsidR="00FD213E" w:rsidRDefault="00B70083">
            <w:pPr>
              <w:widowControl/>
              <w:jc w:val="center"/>
              <w:rPr>
                <w:rFonts w:ascii="宋体" w:hAnsi="宋体" w:cs="宋体"/>
                <w:sz w:val="24"/>
              </w:rPr>
            </w:pPr>
            <w:r>
              <w:rPr>
                <w:rFonts w:ascii="宋体" w:hAnsi="宋体" w:cs="宋体" w:hint="eastAsia"/>
                <w:sz w:val="24"/>
              </w:rPr>
              <w:t>PPR给水管、PVC穿线管及PVC排水管管材</w:t>
            </w:r>
          </w:p>
        </w:tc>
        <w:tc>
          <w:tcPr>
            <w:tcW w:w="4819" w:type="dxa"/>
            <w:tcBorders>
              <w:top w:val="single" w:sz="4" w:space="0" w:color="auto"/>
              <w:left w:val="single" w:sz="4" w:space="0" w:color="auto"/>
              <w:bottom w:val="single" w:sz="4" w:space="0" w:color="auto"/>
              <w:right w:val="single" w:sz="4" w:space="0" w:color="auto"/>
            </w:tcBorders>
            <w:vAlign w:val="center"/>
          </w:tcPr>
          <w:p w:rsidR="00FD213E" w:rsidRDefault="00B70083">
            <w:pPr>
              <w:widowControl/>
              <w:ind w:rightChars="-51" w:right="-107"/>
              <w:jc w:val="center"/>
              <w:rPr>
                <w:rFonts w:ascii="宋体" w:hAnsi="宋体" w:cs="宋体"/>
                <w:sz w:val="24"/>
              </w:rPr>
            </w:pPr>
            <w:r>
              <w:rPr>
                <w:rFonts w:ascii="宋体" w:hAnsi="宋体" w:cs="宋体" w:hint="eastAsia"/>
                <w:sz w:val="24"/>
              </w:rPr>
              <w:t>联塑、河马、中财、日丰或经建设方认可的上述同档次品牌</w:t>
            </w:r>
          </w:p>
        </w:tc>
        <w:tc>
          <w:tcPr>
            <w:tcW w:w="1843" w:type="dxa"/>
            <w:tcBorders>
              <w:top w:val="single" w:sz="4" w:space="0" w:color="auto"/>
              <w:left w:val="single" w:sz="4" w:space="0" w:color="auto"/>
              <w:bottom w:val="single" w:sz="4" w:space="0" w:color="auto"/>
              <w:right w:val="single" w:sz="4" w:space="0" w:color="auto"/>
            </w:tcBorders>
            <w:vAlign w:val="center"/>
          </w:tcPr>
          <w:p w:rsidR="00FD213E" w:rsidRDefault="00FD213E">
            <w:pPr>
              <w:widowControl/>
              <w:jc w:val="left"/>
              <w:rPr>
                <w:rFonts w:ascii="宋体" w:hAnsi="宋体" w:cs="宋体"/>
                <w:sz w:val="24"/>
              </w:rPr>
            </w:pPr>
          </w:p>
        </w:tc>
      </w:tr>
      <w:tr w:rsidR="00FD213E">
        <w:trPr>
          <w:trHeight w:val="664"/>
        </w:trPr>
        <w:tc>
          <w:tcPr>
            <w:tcW w:w="640" w:type="dxa"/>
            <w:tcBorders>
              <w:top w:val="single" w:sz="4" w:space="0" w:color="auto"/>
              <w:left w:val="single" w:sz="4" w:space="0" w:color="auto"/>
              <w:bottom w:val="single" w:sz="4" w:space="0" w:color="auto"/>
              <w:right w:val="single" w:sz="4" w:space="0" w:color="auto"/>
            </w:tcBorders>
            <w:vAlign w:val="center"/>
          </w:tcPr>
          <w:p w:rsidR="00FD213E" w:rsidRDefault="00B70083">
            <w:pPr>
              <w:widowControl/>
              <w:jc w:val="left"/>
              <w:rPr>
                <w:rFonts w:ascii="宋体" w:hAnsi="宋体" w:cs="宋体"/>
                <w:sz w:val="24"/>
              </w:rPr>
            </w:pPr>
            <w:r>
              <w:rPr>
                <w:rFonts w:ascii="宋体" w:hAnsi="宋体" w:cs="宋体" w:hint="eastAsia"/>
                <w:sz w:val="24"/>
              </w:rPr>
              <w:t>22</w:t>
            </w:r>
          </w:p>
        </w:tc>
        <w:tc>
          <w:tcPr>
            <w:tcW w:w="2069" w:type="dxa"/>
            <w:tcBorders>
              <w:top w:val="single" w:sz="4" w:space="0" w:color="auto"/>
              <w:left w:val="single" w:sz="4" w:space="0" w:color="auto"/>
              <w:bottom w:val="single" w:sz="4" w:space="0" w:color="auto"/>
              <w:right w:val="single" w:sz="4" w:space="0" w:color="auto"/>
            </w:tcBorders>
            <w:vAlign w:val="center"/>
          </w:tcPr>
          <w:p w:rsidR="00FD213E" w:rsidRDefault="00B70083">
            <w:pPr>
              <w:widowControl/>
              <w:jc w:val="center"/>
              <w:rPr>
                <w:rFonts w:ascii="宋体" w:hAnsi="宋体" w:cs="宋体"/>
                <w:sz w:val="24"/>
              </w:rPr>
            </w:pPr>
            <w:r>
              <w:rPr>
                <w:rFonts w:ascii="宋体" w:hAnsi="宋体" w:cs="宋体" w:hint="eastAsia"/>
                <w:sz w:val="24"/>
              </w:rPr>
              <w:t>灯具、开关插座</w:t>
            </w:r>
          </w:p>
        </w:tc>
        <w:tc>
          <w:tcPr>
            <w:tcW w:w="4819" w:type="dxa"/>
            <w:tcBorders>
              <w:top w:val="single" w:sz="4" w:space="0" w:color="auto"/>
              <w:left w:val="single" w:sz="4" w:space="0" w:color="auto"/>
              <w:bottom w:val="single" w:sz="4" w:space="0" w:color="auto"/>
              <w:right w:val="single" w:sz="4" w:space="0" w:color="auto"/>
            </w:tcBorders>
            <w:vAlign w:val="center"/>
          </w:tcPr>
          <w:p w:rsidR="00FD213E" w:rsidRDefault="00B70083">
            <w:pPr>
              <w:widowControl/>
              <w:ind w:rightChars="-51" w:right="-107"/>
              <w:jc w:val="center"/>
              <w:rPr>
                <w:rFonts w:ascii="宋体" w:hAnsi="宋体" w:cs="宋体"/>
                <w:sz w:val="24"/>
              </w:rPr>
            </w:pPr>
            <w:r>
              <w:rPr>
                <w:rFonts w:ascii="宋体" w:hAnsi="宋体" w:cs="宋体" w:hint="eastAsia"/>
                <w:sz w:val="24"/>
              </w:rPr>
              <w:t>欧普、雷士、飞利浦或经建设方认可的上述同档次品牌</w:t>
            </w:r>
          </w:p>
        </w:tc>
        <w:tc>
          <w:tcPr>
            <w:tcW w:w="1843" w:type="dxa"/>
            <w:tcBorders>
              <w:top w:val="single" w:sz="4" w:space="0" w:color="auto"/>
              <w:left w:val="single" w:sz="4" w:space="0" w:color="auto"/>
              <w:bottom w:val="single" w:sz="4" w:space="0" w:color="auto"/>
              <w:right w:val="single" w:sz="4" w:space="0" w:color="auto"/>
            </w:tcBorders>
            <w:vAlign w:val="center"/>
          </w:tcPr>
          <w:p w:rsidR="00FD213E" w:rsidRDefault="00FD213E">
            <w:pPr>
              <w:widowControl/>
              <w:jc w:val="left"/>
              <w:rPr>
                <w:rFonts w:ascii="宋体" w:hAnsi="宋体" w:cs="宋体"/>
                <w:sz w:val="24"/>
              </w:rPr>
            </w:pPr>
          </w:p>
        </w:tc>
      </w:tr>
      <w:tr w:rsidR="00FD213E">
        <w:trPr>
          <w:trHeight w:val="664"/>
        </w:trPr>
        <w:tc>
          <w:tcPr>
            <w:tcW w:w="640" w:type="dxa"/>
            <w:tcBorders>
              <w:top w:val="single" w:sz="4" w:space="0" w:color="auto"/>
              <w:left w:val="single" w:sz="4" w:space="0" w:color="auto"/>
              <w:bottom w:val="single" w:sz="4" w:space="0" w:color="auto"/>
              <w:right w:val="single" w:sz="4" w:space="0" w:color="auto"/>
            </w:tcBorders>
            <w:vAlign w:val="center"/>
          </w:tcPr>
          <w:p w:rsidR="00FD213E" w:rsidRDefault="00B70083">
            <w:pPr>
              <w:widowControl/>
              <w:jc w:val="left"/>
              <w:rPr>
                <w:rFonts w:ascii="宋体" w:hAnsi="宋体" w:cs="宋体"/>
                <w:sz w:val="24"/>
              </w:rPr>
            </w:pPr>
            <w:r>
              <w:rPr>
                <w:rFonts w:ascii="宋体" w:hAnsi="宋体" w:cs="宋体" w:hint="eastAsia"/>
                <w:sz w:val="24"/>
              </w:rPr>
              <w:t>23</w:t>
            </w:r>
          </w:p>
        </w:tc>
        <w:tc>
          <w:tcPr>
            <w:tcW w:w="2069" w:type="dxa"/>
            <w:tcBorders>
              <w:top w:val="single" w:sz="4" w:space="0" w:color="auto"/>
              <w:left w:val="single" w:sz="4" w:space="0" w:color="auto"/>
              <w:bottom w:val="single" w:sz="4" w:space="0" w:color="auto"/>
              <w:right w:val="single" w:sz="4" w:space="0" w:color="auto"/>
            </w:tcBorders>
            <w:vAlign w:val="center"/>
          </w:tcPr>
          <w:p w:rsidR="00FD213E" w:rsidRDefault="00B70083">
            <w:pPr>
              <w:widowControl/>
              <w:jc w:val="center"/>
              <w:rPr>
                <w:rFonts w:ascii="宋体" w:hAnsi="宋体" w:cs="宋体"/>
                <w:sz w:val="24"/>
              </w:rPr>
            </w:pPr>
            <w:r>
              <w:rPr>
                <w:rFonts w:ascii="宋体" w:hAnsi="宋体" w:cs="宋体" w:hint="eastAsia"/>
                <w:sz w:val="24"/>
              </w:rPr>
              <w:t>线缆</w:t>
            </w:r>
          </w:p>
        </w:tc>
        <w:tc>
          <w:tcPr>
            <w:tcW w:w="4819" w:type="dxa"/>
            <w:tcBorders>
              <w:top w:val="single" w:sz="4" w:space="0" w:color="auto"/>
              <w:left w:val="single" w:sz="4" w:space="0" w:color="auto"/>
              <w:bottom w:val="single" w:sz="4" w:space="0" w:color="auto"/>
              <w:right w:val="single" w:sz="4" w:space="0" w:color="auto"/>
            </w:tcBorders>
            <w:vAlign w:val="center"/>
          </w:tcPr>
          <w:p w:rsidR="00FD213E" w:rsidRDefault="00B70083">
            <w:pPr>
              <w:widowControl/>
              <w:ind w:rightChars="-51" w:right="-107"/>
              <w:jc w:val="center"/>
              <w:rPr>
                <w:rFonts w:ascii="宋体" w:hAnsi="宋体" w:cs="宋体"/>
                <w:sz w:val="24"/>
              </w:rPr>
            </w:pPr>
            <w:r>
              <w:rPr>
                <w:rFonts w:ascii="宋体" w:hAnsi="宋体" w:cs="宋体" w:hint="eastAsia"/>
                <w:sz w:val="24"/>
              </w:rPr>
              <w:t>上上、远东、江南或经建设方认可的上述同档次品牌</w:t>
            </w:r>
          </w:p>
        </w:tc>
        <w:tc>
          <w:tcPr>
            <w:tcW w:w="1843" w:type="dxa"/>
            <w:tcBorders>
              <w:top w:val="single" w:sz="4" w:space="0" w:color="auto"/>
              <w:left w:val="single" w:sz="4" w:space="0" w:color="auto"/>
              <w:bottom w:val="single" w:sz="4" w:space="0" w:color="auto"/>
              <w:right w:val="single" w:sz="4" w:space="0" w:color="auto"/>
            </w:tcBorders>
            <w:vAlign w:val="center"/>
          </w:tcPr>
          <w:p w:rsidR="00FD213E" w:rsidRDefault="00FD213E">
            <w:pPr>
              <w:widowControl/>
              <w:jc w:val="left"/>
              <w:rPr>
                <w:rFonts w:ascii="宋体" w:hAnsi="宋体" w:cs="宋体"/>
                <w:sz w:val="24"/>
              </w:rPr>
            </w:pPr>
          </w:p>
        </w:tc>
      </w:tr>
    </w:tbl>
    <w:p w:rsidR="00FD213E" w:rsidRDefault="00B70083">
      <w:pPr>
        <w:spacing w:line="360" w:lineRule="auto"/>
        <w:rPr>
          <w:rFonts w:ascii="仿宋" w:eastAsia="仿宋" w:hAnsi="仿宋" w:cs="仿宋"/>
          <w:color w:val="000000"/>
          <w:sz w:val="24"/>
        </w:rPr>
      </w:pPr>
      <w:r>
        <w:rPr>
          <w:rFonts w:ascii="仿宋" w:eastAsia="仿宋" w:hAnsi="仿宋" w:cs="仿宋" w:hint="eastAsia"/>
          <w:b/>
          <w:color w:val="000000"/>
          <w:sz w:val="28"/>
          <w:szCs w:val="28"/>
        </w:rPr>
        <w:t>四、做法说明</w:t>
      </w:r>
      <w:r>
        <w:rPr>
          <w:rFonts w:ascii="仿宋" w:eastAsia="仿宋" w:hAnsi="仿宋" w:cs="仿宋" w:hint="eastAsia"/>
          <w:color w:val="000000"/>
          <w:sz w:val="32"/>
          <w:szCs w:val="32"/>
        </w:rPr>
        <w:t>：</w:t>
      </w:r>
    </w:p>
    <w:p w:rsidR="00FD213E" w:rsidRDefault="00B70083">
      <w:pPr>
        <w:spacing w:line="360" w:lineRule="auto"/>
        <w:ind w:firstLineChars="200" w:firstLine="480"/>
        <w:rPr>
          <w:rFonts w:ascii="仿宋" w:eastAsia="仿宋" w:hAnsi="仿宋"/>
          <w:sz w:val="24"/>
        </w:rPr>
      </w:pPr>
      <w:r>
        <w:rPr>
          <w:rFonts w:ascii="仿宋" w:eastAsia="仿宋" w:hAnsi="仿宋" w:cs="仿宋" w:hint="eastAsia"/>
          <w:sz w:val="24"/>
        </w:rPr>
        <w:t>墙面出新部位由学校现场交底，做法按照清单描述和编制说明要求，施工验收程序“铲-验-批-验-刷-验”每施工一步必须申报，学校验</w:t>
      </w:r>
      <w:r>
        <w:rPr>
          <w:rFonts w:ascii="仿宋" w:eastAsia="仿宋" w:hAnsi="仿宋" w:hint="eastAsia"/>
          <w:sz w:val="24"/>
        </w:rPr>
        <w:t>收，记录部位、实际做法及工程量，</w:t>
      </w:r>
      <w:r>
        <w:rPr>
          <w:rFonts w:ascii="仿宋" w:eastAsia="仿宋" w:hint="eastAsia"/>
          <w:sz w:val="24"/>
        </w:rPr>
        <w:t>所有涂料颜色分色、面砖、墙地砖颜色分色等到时都由学校定</w:t>
      </w:r>
      <w:r>
        <w:rPr>
          <w:rFonts w:ascii="仿宋" w:eastAsia="仿宋" w:hAnsi="仿宋" w:hint="eastAsia"/>
          <w:sz w:val="24"/>
        </w:rPr>
        <w:t>。</w:t>
      </w:r>
    </w:p>
    <w:p w:rsidR="00FD213E" w:rsidRDefault="00B70083">
      <w:pPr>
        <w:spacing w:line="360" w:lineRule="auto"/>
        <w:ind w:firstLine="480"/>
        <w:rPr>
          <w:rFonts w:ascii="仿宋" w:eastAsia="仿宋" w:hAnsi="仿宋"/>
          <w:b/>
          <w:sz w:val="24"/>
        </w:rPr>
      </w:pPr>
      <w:r>
        <w:rPr>
          <w:rFonts w:ascii="仿宋" w:eastAsia="仿宋" w:hAnsi="仿宋" w:hint="eastAsia"/>
          <w:b/>
          <w:sz w:val="24"/>
        </w:rPr>
        <w:t>具体做法参照清单描述，本说明与清单描述冲突的以清单描述为准。</w:t>
      </w:r>
    </w:p>
    <w:p w:rsidR="00FD213E" w:rsidRDefault="00B70083">
      <w:pPr>
        <w:spacing w:line="360" w:lineRule="auto"/>
        <w:ind w:left="180"/>
        <w:rPr>
          <w:rFonts w:ascii="仿宋" w:eastAsia="仿宋" w:hAnsi="仿宋" w:cs="宋体"/>
          <w:b/>
          <w:sz w:val="24"/>
        </w:rPr>
      </w:pPr>
      <w:r>
        <w:rPr>
          <w:rFonts w:ascii="仿宋" w:eastAsia="仿宋" w:hAnsi="仿宋" w:cs="宋体" w:hint="eastAsia"/>
          <w:b/>
          <w:sz w:val="24"/>
        </w:rPr>
        <w:t>唐王小学车棚改造工程：</w:t>
      </w:r>
    </w:p>
    <w:p w:rsidR="00FD213E" w:rsidRDefault="00B70083">
      <w:pPr>
        <w:spacing w:line="360" w:lineRule="auto"/>
        <w:ind w:left="180"/>
        <w:rPr>
          <w:rFonts w:ascii="仿宋" w:eastAsia="仿宋" w:hAnsi="仿宋" w:cs="宋体"/>
          <w:b/>
          <w:bCs/>
          <w:sz w:val="24"/>
        </w:rPr>
      </w:pPr>
      <w:r>
        <w:rPr>
          <w:rFonts w:ascii="仿宋" w:eastAsia="仿宋" w:hAnsi="仿宋" w:cs="宋体" w:hint="eastAsia"/>
          <w:b/>
          <w:bCs/>
          <w:sz w:val="24"/>
        </w:rPr>
        <w:t>1、门卫处自行车棚：</w:t>
      </w:r>
      <w:r>
        <w:rPr>
          <w:rFonts w:ascii="仿宋" w:eastAsia="仿宋" w:hAnsi="仿宋" w:cs="宋体" w:hint="eastAsia"/>
          <w:sz w:val="24"/>
        </w:rPr>
        <w:t>破除地面面层，挖基础土方，浇筑立柱基础C20混凝土300*300*500H，150*150*10</w:t>
      </w:r>
      <w:r w:rsidR="001E43D2">
        <w:rPr>
          <w:rFonts w:ascii="仿宋" w:eastAsia="仿宋" w:hAnsi="仿宋" w:cs="宋体" w:hint="eastAsia"/>
          <w:sz w:val="24"/>
        </w:rPr>
        <w:t>热</w:t>
      </w:r>
      <w:r>
        <w:rPr>
          <w:rFonts w:ascii="仿宋" w:eastAsia="仿宋" w:hAnsi="仿宋" w:cs="宋体" w:hint="eastAsia"/>
          <w:sz w:val="24"/>
        </w:rPr>
        <w:t>镀锌预埋钢板用4根L=200φ16钢筋连接，立柱φ100*4</w:t>
      </w:r>
      <w:r w:rsidR="001E43D2">
        <w:rPr>
          <w:rFonts w:ascii="仿宋" w:eastAsia="仿宋" w:hAnsi="仿宋" w:cs="宋体" w:hint="eastAsia"/>
          <w:sz w:val="24"/>
        </w:rPr>
        <w:t>热</w:t>
      </w:r>
      <w:r>
        <w:rPr>
          <w:rFonts w:ascii="仿宋" w:eastAsia="仿宋" w:hAnsi="仿宋" w:cs="宋体" w:hint="eastAsia"/>
          <w:sz w:val="24"/>
        </w:rPr>
        <w:t>镀锌圆管, 120*120*10柱顶托板；上部横向50*30*3</w:t>
      </w:r>
      <w:r w:rsidR="001E43D2">
        <w:rPr>
          <w:rFonts w:ascii="仿宋" w:eastAsia="仿宋" w:hAnsi="仿宋" w:cs="宋体" w:hint="eastAsia"/>
          <w:sz w:val="24"/>
        </w:rPr>
        <w:t>热</w:t>
      </w:r>
      <w:r>
        <w:rPr>
          <w:rFonts w:ascii="仿宋" w:eastAsia="仿宋" w:hAnsi="仿宋" w:cs="宋体" w:hint="eastAsia"/>
          <w:sz w:val="24"/>
        </w:rPr>
        <w:t>镀锌方钢管四道，竖向50*30*3</w:t>
      </w:r>
      <w:r w:rsidR="001E43D2">
        <w:rPr>
          <w:rFonts w:ascii="仿宋" w:eastAsia="仿宋" w:hAnsi="仿宋" w:cs="宋体" w:hint="eastAsia"/>
          <w:sz w:val="24"/>
        </w:rPr>
        <w:t>热</w:t>
      </w:r>
      <w:r>
        <w:rPr>
          <w:rFonts w:ascii="仿宋" w:eastAsia="仿宋" w:hAnsi="仿宋" w:cs="宋体" w:hint="eastAsia"/>
          <w:sz w:val="24"/>
        </w:rPr>
        <w:t>镀锌方管双层四道；所有钢材为Q235B钢，焊条为E43系列焊条，焊缝处增刷防锈漆一遍，富锌漆一遍，含制作、安装、运输等；</w:t>
      </w:r>
      <w:r w:rsidR="00557DFB" w:rsidRPr="00557DFB">
        <w:rPr>
          <w:rFonts w:ascii="仿宋" w:eastAsia="仿宋" w:hAnsi="仿宋" w:cs="宋体" w:hint="eastAsia"/>
          <w:sz w:val="24"/>
        </w:rPr>
        <w:t>1.0mm厚单层彩钢瓦(瓦楞板)屋面,自攻螺钉与钢梁固定连接,具体做法符合规范及甲方要求</w:t>
      </w:r>
      <w:r>
        <w:rPr>
          <w:rFonts w:ascii="仿宋" w:eastAsia="仿宋" w:hAnsi="仿宋" w:cs="宋体" w:hint="eastAsia"/>
          <w:sz w:val="24"/>
        </w:rPr>
        <w:t>。车棚墙面铲除原外墙涂胶漆，</w:t>
      </w:r>
      <w:r w:rsidR="001E43D2">
        <w:rPr>
          <w:rFonts w:ascii="仿宋" w:eastAsia="仿宋" w:hAnsi="仿宋" w:cs="宋体" w:hint="eastAsia"/>
          <w:sz w:val="24"/>
        </w:rPr>
        <w:t>新做</w:t>
      </w:r>
      <w:r w:rsidR="001E43D2" w:rsidRPr="001E43D2">
        <w:rPr>
          <w:rFonts w:ascii="仿宋" w:eastAsia="仿宋" w:hAnsi="仿宋" w:cs="宋体" w:hint="eastAsia"/>
          <w:sz w:val="24"/>
        </w:rPr>
        <w:t>外墙柔性耐水腻子2遍,外墙弹性涂料，一底两面，具体颜色样式由甲方定。</w:t>
      </w:r>
    </w:p>
    <w:p w:rsidR="00FD213E" w:rsidRDefault="00B70083">
      <w:pPr>
        <w:spacing w:line="360" w:lineRule="auto"/>
        <w:ind w:left="180"/>
        <w:rPr>
          <w:rFonts w:ascii="仿宋" w:eastAsia="仿宋" w:hAnsi="仿宋" w:cs="宋体"/>
          <w:sz w:val="24"/>
        </w:rPr>
      </w:pPr>
      <w:r>
        <w:rPr>
          <w:rFonts w:ascii="仿宋" w:eastAsia="仿宋" w:hAnsi="仿宋" w:cs="宋体" w:hint="eastAsia"/>
          <w:b/>
          <w:bCs/>
          <w:sz w:val="24"/>
        </w:rPr>
        <w:t>2、餐厅内侧隔墙砌筑：</w:t>
      </w:r>
    </w:p>
    <w:p w:rsidR="00FD213E" w:rsidRDefault="00B70083">
      <w:pPr>
        <w:numPr>
          <w:ilvl w:val="0"/>
          <w:numId w:val="2"/>
        </w:numPr>
        <w:spacing w:line="360" w:lineRule="auto"/>
        <w:ind w:right="480"/>
        <w:rPr>
          <w:rFonts w:ascii="仿宋" w:eastAsia="仿宋" w:hAnsi="仿宋" w:cs="宋体"/>
          <w:sz w:val="24"/>
        </w:rPr>
      </w:pPr>
      <w:r>
        <w:rPr>
          <w:rFonts w:ascii="仿宋" w:eastAsia="仿宋" w:hAnsi="仿宋" w:cs="宋体" w:hint="eastAsia"/>
          <w:sz w:val="24"/>
        </w:rPr>
        <w:t>餐厅内砖砌1.8m高12cm厚MU10混凝土实心砖墙，M7.5水泥砂浆砌筑。</w:t>
      </w:r>
    </w:p>
    <w:p w:rsidR="00FD213E" w:rsidRDefault="00B70083">
      <w:pPr>
        <w:numPr>
          <w:ilvl w:val="0"/>
          <w:numId w:val="2"/>
        </w:numPr>
        <w:spacing w:line="360" w:lineRule="auto"/>
        <w:ind w:right="480"/>
        <w:rPr>
          <w:rFonts w:ascii="仿宋" w:eastAsia="仿宋" w:hAnsi="仿宋" w:cs="宋体"/>
          <w:sz w:val="24"/>
        </w:rPr>
      </w:pPr>
      <w:r>
        <w:rPr>
          <w:rFonts w:ascii="仿宋" w:eastAsia="仿宋" w:hAnsi="仿宋" w:cs="宋体" w:hint="eastAsia"/>
          <w:sz w:val="24"/>
        </w:rPr>
        <w:t>1.8m高墙面刷901胶素水泥浆一遍,12厚1:3水泥砂浆打底，专业粘结剂粘贴300*600瓷砖,白水泥擦缝，成品不锈钢线条收边，颜色</w:t>
      </w:r>
      <w:r>
        <w:rPr>
          <w:rFonts w:ascii="仿宋" w:eastAsia="仿宋" w:hAnsi="仿宋" w:cs="宋体" w:hint="eastAsia"/>
          <w:sz w:val="24"/>
        </w:rPr>
        <w:lastRenderedPageBreak/>
        <w:t>及样式与原墙面一致</w:t>
      </w:r>
    </w:p>
    <w:p w:rsidR="00FD213E" w:rsidRDefault="00B70083">
      <w:pPr>
        <w:numPr>
          <w:ilvl w:val="0"/>
          <w:numId w:val="2"/>
        </w:numPr>
        <w:spacing w:line="360" w:lineRule="auto"/>
        <w:ind w:right="480"/>
        <w:rPr>
          <w:rFonts w:ascii="仿宋" w:eastAsia="仿宋" w:hAnsi="仿宋" w:cs="宋体"/>
          <w:sz w:val="24"/>
        </w:rPr>
      </w:pPr>
      <w:r>
        <w:rPr>
          <w:rFonts w:ascii="仿宋" w:eastAsia="仿宋" w:hAnsi="仿宋" w:cs="宋体" w:hint="eastAsia"/>
          <w:sz w:val="24"/>
        </w:rPr>
        <w:t>砖砌墙体顶部做12cm厚同墙宽C25非泵送砼圈梁。</w:t>
      </w:r>
    </w:p>
    <w:p w:rsidR="00FD213E" w:rsidRDefault="00B70083">
      <w:pPr>
        <w:numPr>
          <w:ilvl w:val="0"/>
          <w:numId w:val="2"/>
        </w:numPr>
        <w:spacing w:line="360" w:lineRule="auto"/>
        <w:ind w:right="480"/>
        <w:rPr>
          <w:rFonts w:ascii="仿宋" w:eastAsia="仿宋" w:hAnsi="仿宋" w:cs="宋体"/>
          <w:sz w:val="24"/>
        </w:rPr>
      </w:pPr>
      <w:r>
        <w:rPr>
          <w:rFonts w:ascii="仿宋" w:eastAsia="仿宋" w:hAnsi="仿宋" w:cs="宋体" w:hint="eastAsia"/>
          <w:sz w:val="24"/>
        </w:rPr>
        <w:t>砖砌顶部做0.6厚U75系列轻钢龙骨@400，双面</w:t>
      </w:r>
      <w:r w:rsidR="001E43D2">
        <w:rPr>
          <w:rFonts w:ascii="仿宋" w:eastAsia="仿宋" w:hAnsi="仿宋" w:cs="宋体" w:hint="eastAsia"/>
          <w:sz w:val="24"/>
        </w:rPr>
        <w:t>单层</w:t>
      </w:r>
      <w:r>
        <w:rPr>
          <w:rFonts w:ascii="仿宋" w:eastAsia="仿宋" w:hAnsi="仿宋" w:cs="宋体" w:hint="eastAsia"/>
          <w:sz w:val="24"/>
        </w:rPr>
        <w:t>12mm厚纸面石膏板,隔墙，纸面石膏板上批腻子刷内墙乳胶漆。</w:t>
      </w:r>
    </w:p>
    <w:p w:rsidR="00FD213E" w:rsidRDefault="00B70083">
      <w:pPr>
        <w:numPr>
          <w:ilvl w:val="0"/>
          <w:numId w:val="2"/>
        </w:numPr>
        <w:spacing w:line="460" w:lineRule="exact"/>
        <w:rPr>
          <w:rFonts w:ascii="仿宋" w:eastAsia="仿宋" w:hAnsi="仿宋" w:cs="宋体"/>
          <w:sz w:val="24"/>
        </w:rPr>
      </w:pPr>
      <w:r>
        <w:rPr>
          <w:rFonts w:ascii="仿宋" w:eastAsia="仿宋" w:hAnsi="仿宋" w:cs="宋体" w:hint="eastAsia"/>
          <w:sz w:val="24"/>
        </w:rPr>
        <w:t>隔墙两端做成品实木复合平开门（含门套安装）；门五金安装；不锈钢铰链；不锈钢门吸；不锈钢单开执手锁，洞口尺寸1000*2100，具体颜色样式由甲方确定。</w:t>
      </w:r>
    </w:p>
    <w:p w:rsidR="00FD213E" w:rsidRDefault="00B70083">
      <w:pPr>
        <w:numPr>
          <w:ilvl w:val="0"/>
          <w:numId w:val="2"/>
        </w:numPr>
        <w:spacing w:line="460" w:lineRule="exact"/>
        <w:rPr>
          <w:rFonts w:ascii="仿宋" w:eastAsia="仿宋" w:hAnsi="仿宋" w:cs="宋体"/>
          <w:sz w:val="24"/>
        </w:rPr>
      </w:pPr>
      <w:r>
        <w:rPr>
          <w:rFonts w:ascii="仿宋" w:eastAsia="仿宋" w:hAnsi="仿宋" w:cs="宋体" w:hint="eastAsia"/>
          <w:sz w:val="24"/>
        </w:rPr>
        <w:t>原餐厅窗户安装成品百叶窗窗帘。</w:t>
      </w:r>
    </w:p>
    <w:p w:rsidR="00FD213E" w:rsidRDefault="00FD213E">
      <w:pPr>
        <w:spacing w:line="360" w:lineRule="auto"/>
        <w:ind w:right="480"/>
        <w:rPr>
          <w:rFonts w:ascii="仿宋" w:eastAsia="仿宋" w:hAnsi="仿宋" w:cs="宋体"/>
          <w:sz w:val="24"/>
        </w:rPr>
      </w:pPr>
    </w:p>
    <w:p w:rsidR="00DA564A" w:rsidRDefault="00DA564A" w:rsidP="00DA564A">
      <w:pPr>
        <w:spacing w:line="360" w:lineRule="auto"/>
        <w:ind w:right="480" w:firstLineChars="245" w:firstLine="590"/>
        <w:rPr>
          <w:rFonts w:ascii="仿宋" w:eastAsia="仿宋"/>
          <w:b/>
          <w:bCs/>
          <w:color w:val="000000"/>
          <w:sz w:val="24"/>
          <w:lang w:val="zh-CN"/>
        </w:rPr>
      </w:pPr>
      <w:r>
        <w:rPr>
          <w:rFonts w:ascii="仿宋" w:eastAsia="仿宋" w:cs="仿宋" w:hint="eastAsia"/>
          <w:b/>
          <w:bCs/>
          <w:color w:val="000000"/>
          <w:sz w:val="24"/>
          <w:lang w:val="zh-CN"/>
        </w:rPr>
        <w:t>唐王小学安装</w:t>
      </w:r>
    </w:p>
    <w:p w:rsidR="00DA564A" w:rsidRDefault="00DA564A" w:rsidP="00DA564A">
      <w:pPr>
        <w:numPr>
          <w:ilvl w:val="0"/>
          <w:numId w:val="5"/>
        </w:numPr>
        <w:spacing w:line="360" w:lineRule="auto"/>
        <w:ind w:right="480" w:firstLineChars="235" w:firstLine="566"/>
        <w:rPr>
          <w:rFonts w:ascii="仿宋" w:eastAsia="仿宋"/>
          <w:bCs/>
          <w:sz w:val="24"/>
        </w:rPr>
      </w:pPr>
      <w:r>
        <w:rPr>
          <w:rFonts w:ascii="仿宋" w:eastAsia="仿宋" w:hAnsi="仿宋" w:hint="eastAsia"/>
          <w:b/>
          <w:sz w:val="24"/>
        </w:rPr>
        <w:t>自行车车棚电气改造工程</w:t>
      </w:r>
      <w:r>
        <w:rPr>
          <w:rFonts w:ascii="仿宋" w:eastAsia="仿宋" w:cs="仿宋" w:hint="eastAsia"/>
          <w:b/>
          <w:bCs/>
          <w:color w:val="000000"/>
          <w:sz w:val="24"/>
        </w:rPr>
        <w:t>：</w:t>
      </w:r>
      <w:r>
        <w:rPr>
          <w:rFonts w:ascii="仿宋" w:eastAsia="仿宋" w:hAnsi="仿宋" w:hint="eastAsia"/>
          <w:sz w:val="24"/>
        </w:rPr>
        <w:t>根据招标（</w:t>
      </w:r>
      <w:r>
        <w:rPr>
          <w:rFonts w:ascii="仿宋" w:eastAsia="仿宋" w:cs="仿宋" w:hint="eastAsia"/>
          <w:color w:val="000000"/>
          <w:sz w:val="24"/>
        </w:rPr>
        <w:t>校</w:t>
      </w:r>
      <w:r>
        <w:rPr>
          <w:rFonts w:ascii="仿宋" w:eastAsia="仿宋" w:hAnsi="仿宋" w:hint="eastAsia"/>
          <w:sz w:val="24"/>
        </w:rPr>
        <w:t>）方要求,</w:t>
      </w:r>
      <w:r>
        <w:rPr>
          <w:rFonts w:ascii="仿宋" w:eastAsia="仿宋" w:cs="仿宋" w:hint="eastAsia"/>
          <w:color w:val="000000"/>
          <w:sz w:val="24"/>
        </w:rPr>
        <w:t xml:space="preserve"> 原校区</w:t>
      </w:r>
      <w:r>
        <w:rPr>
          <w:rFonts w:ascii="仿宋" w:eastAsia="仿宋" w:hAnsi="仿宋" w:hint="eastAsia"/>
          <w:sz w:val="24"/>
        </w:rPr>
        <w:t>自行车车棚内增加一只插座</w:t>
      </w:r>
      <w:r>
        <w:rPr>
          <w:rFonts w:ascii="仿宋" w:eastAsia="仿宋" w:cs="仿宋" w:hint="eastAsia"/>
          <w:color w:val="000000"/>
          <w:sz w:val="24"/>
        </w:rPr>
        <w:t>，原有插座全部更换，增加相应管线等。</w:t>
      </w:r>
    </w:p>
    <w:p w:rsidR="00DA564A" w:rsidRDefault="00DA564A" w:rsidP="00DA564A">
      <w:pPr>
        <w:numPr>
          <w:ilvl w:val="0"/>
          <w:numId w:val="5"/>
        </w:numPr>
        <w:spacing w:line="360" w:lineRule="auto"/>
        <w:ind w:right="480" w:firstLineChars="235" w:firstLine="566"/>
        <w:rPr>
          <w:rFonts w:ascii="仿宋" w:eastAsia="仿宋"/>
          <w:bCs/>
          <w:sz w:val="24"/>
        </w:rPr>
      </w:pPr>
      <w:r>
        <w:rPr>
          <w:rFonts w:ascii="仿宋" w:eastAsia="仿宋" w:cs="仿宋" w:hint="eastAsia"/>
          <w:b/>
          <w:color w:val="000000"/>
          <w:sz w:val="24"/>
        </w:rPr>
        <w:t>食堂电气改造工程：</w:t>
      </w:r>
      <w:r>
        <w:rPr>
          <w:rFonts w:ascii="仿宋" w:eastAsia="仿宋" w:hAnsi="仿宋" w:hint="eastAsia"/>
          <w:sz w:val="24"/>
        </w:rPr>
        <w:t>根据招标（</w:t>
      </w:r>
      <w:r>
        <w:rPr>
          <w:rFonts w:ascii="仿宋" w:eastAsia="仿宋" w:cs="仿宋" w:hint="eastAsia"/>
          <w:color w:val="000000"/>
          <w:sz w:val="24"/>
        </w:rPr>
        <w:t>校</w:t>
      </w:r>
      <w:r>
        <w:rPr>
          <w:rFonts w:ascii="仿宋" w:eastAsia="仿宋" w:hAnsi="仿宋" w:hint="eastAsia"/>
          <w:sz w:val="24"/>
        </w:rPr>
        <w:t>）方要求，增加部分线槽、</w:t>
      </w:r>
      <w:r>
        <w:rPr>
          <w:rFonts w:ascii="仿宋" w:eastAsia="仿宋" w:cs="仿宋" w:hint="eastAsia"/>
          <w:color w:val="000000"/>
          <w:sz w:val="24"/>
        </w:rPr>
        <w:t>相应管线、吊风扇移位，增加空调插座箱等。</w:t>
      </w:r>
    </w:p>
    <w:p w:rsidR="00FD213E" w:rsidRDefault="00B70083">
      <w:pPr>
        <w:spacing w:line="360" w:lineRule="auto"/>
        <w:ind w:right="480" w:firstLineChars="245" w:firstLine="590"/>
        <w:rPr>
          <w:rFonts w:ascii="仿宋" w:eastAsia="仿宋"/>
          <w:b/>
          <w:bCs/>
          <w:color w:val="000000"/>
          <w:sz w:val="24"/>
          <w:lang w:val="zh-CN"/>
        </w:rPr>
      </w:pPr>
      <w:r>
        <w:rPr>
          <w:rFonts w:ascii="仿宋" w:eastAsia="仿宋" w:cs="仿宋" w:hint="eastAsia"/>
          <w:b/>
          <w:bCs/>
          <w:color w:val="000000"/>
          <w:sz w:val="24"/>
          <w:lang w:val="zh-CN"/>
        </w:rPr>
        <w:t xml:space="preserve"> </w:t>
      </w:r>
    </w:p>
    <w:p w:rsidR="00FD213E" w:rsidRDefault="00FD213E">
      <w:pPr>
        <w:spacing w:line="360" w:lineRule="auto"/>
        <w:ind w:leftChars="438" w:left="920" w:right="480"/>
        <w:rPr>
          <w:rFonts w:ascii="仿宋" w:eastAsia="仿宋"/>
          <w:bCs/>
          <w:color w:val="000000"/>
          <w:sz w:val="24"/>
          <w:lang w:val="zh-CN"/>
        </w:rPr>
      </w:pPr>
      <w:bookmarkStart w:id="0" w:name="_GoBack"/>
      <w:bookmarkEnd w:id="0"/>
    </w:p>
    <w:p w:rsidR="00FD213E" w:rsidRDefault="00B70083">
      <w:pPr>
        <w:spacing w:line="360" w:lineRule="auto"/>
        <w:jc w:val="left"/>
        <w:rPr>
          <w:rFonts w:ascii="仿宋" w:eastAsia="仿宋"/>
          <w:sz w:val="24"/>
        </w:rPr>
      </w:pPr>
      <w:r>
        <w:rPr>
          <w:rFonts w:ascii="仿宋" w:eastAsia="仿宋" w:hint="eastAsia"/>
          <w:sz w:val="24"/>
        </w:rPr>
        <w:t xml:space="preserve">                                  </w:t>
      </w:r>
    </w:p>
    <w:p w:rsidR="00FD213E" w:rsidRDefault="00B70083">
      <w:pPr>
        <w:spacing w:line="360" w:lineRule="auto"/>
        <w:ind w:firstLineChars="2007" w:firstLine="4836"/>
        <w:jc w:val="left"/>
        <w:rPr>
          <w:rFonts w:ascii="仿宋" w:eastAsia="仿宋"/>
          <w:b/>
          <w:sz w:val="24"/>
        </w:rPr>
      </w:pPr>
      <w:r>
        <w:rPr>
          <w:rFonts w:ascii="仿宋" w:eastAsia="仿宋" w:hint="eastAsia"/>
          <w:b/>
          <w:sz w:val="24"/>
        </w:rPr>
        <w:t>江苏信达建设工程咨询有限公司</w:t>
      </w:r>
    </w:p>
    <w:p w:rsidR="00FD213E" w:rsidRDefault="00B70083">
      <w:pPr>
        <w:spacing w:line="360" w:lineRule="auto"/>
        <w:ind w:right="480"/>
        <w:jc w:val="right"/>
        <w:rPr>
          <w:rFonts w:ascii="仿宋" w:eastAsia="仿宋" w:hAnsi="仿宋" w:cs="仿宋"/>
          <w:b/>
          <w:sz w:val="24"/>
        </w:rPr>
      </w:pPr>
      <w:r>
        <w:rPr>
          <w:rFonts w:ascii="仿宋" w:eastAsia="仿宋" w:hint="eastAsia"/>
          <w:b/>
          <w:sz w:val="24"/>
        </w:rPr>
        <w:t xml:space="preserve">                       </w:t>
      </w:r>
      <w:r>
        <w:rPr>
          <w:rFonts w:ascii="仿宋" w:eastAsia="仿宋" w:hAnsi="仿宋" w:cs="仿宋" w:hint="eastAsia"/>
          <w:b/>
          <w:sz w:val="24"/>
          <w:lang w:val="zh-CN"/>
        </w:rPr>
        <w:t>2019.05</w:t>
      </w:r>
      <w:r>
        <w:rPr>
          <w:rFonts w:ascii="仿宋" w:eastAsia="仿宋" w:hAnsi="仿宋" w:cs="仿宋" w:hint="eastAsia"/>
          <w:b/>
          <w:sz w:val="24"/>
        </w:rPr>
        <w:t>.27</w:t>
      </w:r>
    </w:p>
    <w:p w:rsidR="00FD213E" w:rsidRDefault="00FD213E">
      <w:pPr>
        <w:spacing w:line="360" w:lineRule="auto"/>
        <w:jc w:val="left"/>
        <w:rPr>
          <w:rFonts w:ascii="仿宋" w:eastAsia="仿宋"/>
          <w:sz w:val="24"/>
        </w:rPr>
      </w:pPr>
    </w:p>
    <w:sectPr w:rsidR="00FD213E" w:rsidSect="00FD213E">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29F3" w:rsidRDefault="00B429F3" w:rsidP="00FD213E">
      <w:r>
        <w:separator/>
      </w:r>
    </w:p>
  </w:endnote>
  <w:endnote w:type="continuationSeparator" w:id="0">
    <w:p w:rsidR="00B429F3" w:rsidRDefault="00B429F3" w:rsidP="00FD21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213E" w:rsidRDefault="00B70083">
    <w:pPr>
      <w:pStyle w:val="a5"/>
      <w:jc w:val="center"/>
    </w:pPr>
    <w:r>
      <w:rPr>
        <w:rFonts w:hint="eastAsia"/>
        <w:kern w:val="0"/>
        <w:szCs w:val="21"/>
      </w:rPr>
      <w:t>第</w:t>
    </w:r>
    <w:r>
      <w:rPr>
        <w:rFonts w:hint="eastAsia"/>
        <w:kern w:val="0"/>
        <w:szCs w:val="21"/>
      </w:rPr>
      <w:t xml:space="preserve"> </w:t>
    </w:r>
    <w:r w:rsidR="006D20DA">
      <w:rPr>
        <w:kern w:val="0"/>
        <w:szCs w:val="21"/>
      </w:rPr>
      <w:fldChar w:fldCharType="begin"/>
    </w:r>
    <w:r>
      <w:rPr>
        <w:kern w:val="0"/>
        <w:szCs w:val="21"/>
      </w:rPr>
      <w:instrText xml:space="preserve"> PAGE </w:instrText>
    </w:r>
    <w:r w:rsidR="006D20DA">
      <w:rPr>
        <w:kern w:val="0"/>
        <w:szCs w:val="21"/>
      </w:rPr>
      <w:fldChar w:fldCharType="separate"/>
    </w:r>
    <w:r w:rsidR="0070174C">
      <w:rPr>
        <w:noProof/>
        <w:kern w:val="0"/>
        <w:szCs w:val="21"/>
      </w:rPr>
      <w:t>4</w:t>
    </w:r>
    <w:r w:rsidR="006D20DA">
      <w:rPr>
        <w:kern w:val="0"/>
        <w:szCs w:val="21"/>
      </w:rPr>
      <w:fldChar w:fldCharType="end"/>
    </w:r>
    <w:r>
      <w:rPr>
        <w:rFonts w:hint="eastAsia"/>
        <w:kern w:val="0"/>
        <w:szCs w:val="21"/>
      </w:rPr>
      <w:t xml:space="preserve"> </w:t>
    </w:r>
    <w:r>
      <w:rPr>
        <w:rFonts w:hint="eastAsia"/>
        <w:kern w:val="0"/>
        <w:szCs w:val="21"/>
      </w:rPr>
      <w:t>页</w:t>
    </w:r>
    <w:r>
      <w:rPr>
        <w:rFonts w:hint="eastAsia"/>
        <w:kern w:val="0"/>
        <w:szCs w:val="21"/>
      </w:rPr>
      <w:t xml:space="preserve"> </w:t>
    </w:r>
    <w:r>
      <w:rPr>
        <w:rFonts w:hint="eastAsia"/>
        <w:kern w:val="0"/>
        <w:szCs w:val="21"/>
      </w:rPr>
      <w:t>共</w:t>
    </w:r>
    <w:r>
      <w:rPr>
        <w:rFonts w:hint="eastAsia"/>
        <w:kern w:val="0"/>
        <w:szCs w:val="21"/>
      </w:rPr>
      <w:t xml:space="preserve"> </w:t>
    </w:r>
    <w:r w:rsidR="006D20DA">
      <w:rPr>
        <w:kern w:val="0"/>
        <w:szCs w:val="21"/>
      </w:rPr>
      <w:fldChar w:fldCharType="begin"/>
    </w:r>
    <w:r>
      <w:rPr>
        <w:kern w:val="0"/>
        <w:szCs w:val="21"/>
      </w:rPr>
      <w:instrText xml:space="preserve"> NUMPAGES </w:instrText>
    </w:r>
    <w:r w:rsidR="006D20DA">
      <w:rPr>
        <w:kern w:val="0"/>
        <w:szCs w:val="21"/>
      </w:rPr>
      <w:fldChar w:fldCharType="separate"/>
    </w:r>
    <w:r w:rsidR="0070174C">
      <w:rPr>
        <w:noProof/>
        <w:kern w:val="0"/>
        <w:szCs w:val="21"/>
      </w:rPr>
      <w:t>4</w:t>
    </w:r>
    <w:r w:rsidR="006D20DA">
      <w:rPr>
        <w:kern w:val="0"/>
        <w:szCs w:val="21"/>
      </w:rPr>
      <w:fldChar w:fldCharType="end"/>
    </w:r>
    <w:r>
      <w:rPr>
        <w:rFonts w:hint="eastAsia"/>
        <w:kern w:val="0"/>
        <w:szCs w:val="21"/>
      </w:rPr>
      <w:t xml:space="preserve"> </w:t>
    </w:r>
    <w:r>
      <w:rPr>
        <w:rFonts w:hint="eastAsia"/>
        <w:kern w:val="0"/>
        <w:szCs w:val="21"/>
      </w:rPr>
      <w:t>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29F3" w:rsidRDefault="00B429F3" w:rsidP="00FD213E">
      <w:r>
        <w:separator/>
      </w:r>
    </w:p>
  </w:footnote>
  <w:footnote w:type="continuationSeparator" w:id="0">
    <w:p w:rsidR="00B429F3" w:rsidRDefault="00B429F3" w:rsidP="00FD213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5097F6C"/>
    <w:multiLevelType w:val="singleLevel"/>
    <w:tmpl w:val="95097F6C"/>
    <w:lvl w:ilvl="0">
      <w:start w:val="1"/>
      <w:numFmt w:val="decimal"/>
      <w:suff w:val="nothing"/>
      <w:lvlText w:val="%1、"/>
      <w:lvlJc w:val="left"/>
    </w:lvl>
  </w:abstractNum>
  <w:abstractNum w:abstractNumId="1">
    <w:nsid w:val="524E4155"/>
    <w:multiLevelType w:val="multilevel"/>
    <w:tmpl w:val="524E4155"/>
    <w:lvl w:ilvl="0">
      <w:start w:val="1"/>
      <w:numFmt w:val="decimal"/>
      <w:lvlText w:val="%1）"/>
      <w:lvlJc w:val="left"/>
      <w:pPr>
        <w:ind w:left="846" w:hanging="420"/>
      </w:pPr>
      <w:rPr>
        <w:rFonts w:hint="default"/>
      </w:r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2">
    <w:nsid w:val="5DB22E22"/>
    <w:multiLevelType w:val="multilevel"/>
    <w:tmpl w:val="5DB22E22"/>
    <w:lvl w:ilvl="0">
      <w:start w:val="1"/>
      <w:numFmt w:val="decimal"/>
      <w:lvlText w:val="%1."/>
      <w:lvlJc w:val="left"/>
      <w:pPr>
        <w:tabs>
          <w:tab w:val="left" w:pos="780"/>
        </w:tabs>
        <w:ind w:left="780" w:hanging="420"/>
      </w:pPr>
      <w:rPr>
        <w:rFonts w:ascii="宋体" w:eastAsia="宋体" w:hAnsi="宋体" w:hint="eastAsia"/>
        <w:color w:val="000000"/>
      </w:rPr>
    </w:lvl>
    <w:lvl w:ilvl="1">
      <w:start w:val="1"/>
      <w:numFmt w:val="decimal"/>
      <w:lvlText w:val="%2、"/>
      <w:lvlJc w:val="left"/>
      <w:pPr>
        <w:tabs>
          <w:tab w:val="left" w:pos="786"/>
        </w:tabs>
        <w:ind w:left="786" w:hanging="360"/>
      </w:pPr>
      <w:rPr>
        <w:rFonts w:ascii="Times New Roman" w:hAnsi="Times New Roman" w:cs="Times New Roman" w:hint="default"/>
      </w:rPr>
    </w:lvl>
    <w:lvl w:ilvl="2">
      <w:start w:val="1"/>
      <w:numFmt w:val="decimal"/>
      <w:lvlText w:val="%3"/>
      <w:lvlJc w:val="left"/>
      <w:pPr>
        <w:ind w:left="1200" w:hanging="360"/>
      </w:pPr>
      <w:rPr>
        <w:rFonts w:ascii="Times New Roman" w:hAnsi="Times New Roman" w:cs="Times New Roman" w:hint="default"/>
        <w:b/>
        <w:bCs/>
      </w:rPr>
    </w:lvl>
    <w:lvl w:ilvl="3">
      <w:start w:val="1"/>
      <w:numFmt w:val="decimal"/>
      <w:lvlText w:val="%4、"/>
      <w:lvlJc w:val="left"/>
      <w:pPr>
        <w:ind w:left="1620" w:hanging="360"/>
      </w:pPr>
      <w:rPr>
        <w:rFonts w:ascii="Times New Roman" w:hAnsi="Times New Roman" w:cs="Times New Roman" w:hint="default"/>
        <w:b/>
        <w:bCs/>
      </w:rPr>
    </w:lvl>
    <w:lvl w:ilvl="4">
      <w:start w:val="1"/>
      <w:numFmt w:val="lowerLetter"/>
      <w:lvlText w:val="%5)"/>
      <w:lvlJc w:val="left"/>
      <w:pPr>
        <w:tabs>
          <w:tab w:val="left" w:pos="2100"/>
        </w:tabs>
        <w:ind w:left="2100" w:hanging="420"/>
      </w:pPr>
      <w:rPr>
        <w:rFonts w:ascii="Times New Roman" w:hAnsi="Times New Roman" w:cs="Times New Roman" w:hint="default"/>
      </w:rPr>
    </w:lvl>
    <w:lvl w:ilvl="5">
      <w:start w:val="1"/>
      <w:numFmt w:val="lowerRoman"/>
      <w:lvlText w:val="%6."/>
      <w:lvlJc w:val="right"/>
      <w:pPr>
        <w:tabs>
          <w:tab w:val="left" w:pos="2520"/>
        </w:tabs>
        <w:ind w:left="2520" w:hanging="420"/>
      </w:pPr>
      <w:rPr>
        <w:rFonts w:ascii="Times New Roman" w:hAnsi="Times New Roman" w:cs="Times New Roman" w:hint="default"/>
      </w:rPr>
    </w:lvl>
    <w:lvl w:ilvl="6">
      <w:start w:val="1"/>
      <w:numFmt w:val="decimal"/>
      <w:lvlText w:val="%7."/>
      <w:lvlJc w:val="left"/>
      <w:pPr>
        <w:tabs>
          <w:tab w:val="left" w:pos="2940"/>
        </w:tabs>
        <w:ind w:left="2940" w:hanging="420"/>
      </w:pPr>
      <w:rPr>
        <w:rFonts w:ascii="Times New Roman" w:hAnsi="Times New Roman" w:cs="Times New Roman" w:hint="default"/>
      </w:rPr>
    </w:lvl>
    <w:lvl w:ilvl="7">
      <w:start w:val="1"/>
      <w:numFmt w:val="lowerLetter"/>
      <w:lvlText w:val="%8)"/>
      <w:lvlJc w:val="left"/>
      <w:pPr>
        <w:tabs>
          <w:tab w:val="left" w:pos="3360"/>
        </w:tabs>
        <w:ind w:left="3360" w:hanging="420"/>
      </w:pPr>
      <w:rPr>
        <w:rFonts w:ascii="Times New Roman" w:hAnsi="Times New Roman" w:cs="Times New Roman" w:hint="default"/>
      </w:rPr>
    </w:lvl>
    <w:lvl w:ilvl="8">
      <w:start w:val="1"/>
      <w:numFmt w:val="lowerRoman"/>
      <w:lvlText w:val="%9."/>
      <w:lvlJc w:val="right"/>
      <w:pPr>
        <w:tabs>
          <w:tab w:val="left" w:pos="3780"/>
        </w:tabs>
        <w:ind w:left="3780" w:hanging="420"/>
      </w:pPr>
      <w:rPr>
        <w:rFonts w:ascii="Times New Roman" w:hAnsi="Times New Roman" w:cs="Times New Roman" w:hint="default"/>
      </w:rPr>
    </w:lvl>
  </w:abstractNum>
  <w:abstractNum w:abstractNumId="3">
    <w:nsid w:val="5F03380E"/>
    <w:multiLevelType w:val="multilevel"/>
    <w:tmpl w:val="5F03380E"/>
    <w:lvl w:ilvl="0">
      <w:start w:val="1"/>
      <w:numFmt w:val="decimal"/>
      <w:lvlText w:val="%1."/>
      <w:lvlJc w:val="left"/>
      <w:pPr>
        <w:tabs>
          <w:tab w:val="left" w:pos="780"/>
        </w:tabs>
        <w:ind w:left="780" w:hanging="420"/>
      </w:pPr>
      <w:rPr>
        <w:rFonts w:hint="eastAsia"/>
        <w:color w:val="000000"/>
      </w:rPr>
    </w:lvl>
    <w:lvl w:ilvl="1">
      <w:start w:val="1"/>
      <w:numFmt w:val="decimal"/>
      <w:lvlText w:val="%2、"/>
      <w:lvlJc w:val="left"/>
      <w:pPr>
        <w:tabs>
          <w:tab w:val="left" w:pos="786"/>
        </w:tabs>
        <w:ind w:left="786" w:hanging="360"/>
      </w:pPr>
      <w:rPr>
        <w:rFonts w:hint="default"/>
      </w:rPr>
    </w:lvl>
    <w:lvl w:ilvl="2">
      <w:start w:val="1"/>
      <w:numFmt w:val="decimal"/>
      <w:lvlText w:val="%3"/>
      <w:lvlJc w:val="left"/>
      <w:pPr>
        <w:ind w:left="1200" w:hanging="360"/>
      </w:pPr>
      <w:rPr>
        <w:rFonts w:hint="default"/>
        <w:b/>
      </w:rPr>
    </w:lvl>
    <w:lvl w:ilvl="3">
      <w:start w:val="1"/>
      <w:numFmt w:val="decimal"/>
      <w:lvlText w:val="%4、"/>
      <w:lvlJc w:val="left"/>
      <w:pPr>
        <w:ind w:left="1620" w:hanging="360"/>
      </w:pPr>
      <w:rPr>
        <w:rFonts w:hint="default"/>
        <w:b/>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3"/>
  </w:num>
  <w:num w:numId="2">
    <w:abstractNumId w:val="1"/>
  </w:num>
  <w:num w:numId="3">
    <w:abstractNumId w:val="0"/>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5177"/>
    <w:rsid w:val="00010146"/>
    <w:rsid w:val="00013FC0"/>
    <w:rsid w:val="00020227"/>
    <w:rsid w:val="00022B36"/>
    <w:rsid w:val="00022DB2"/>
    <w:rsid w:val="00023EC0"/>
    <w:rsid w:val="000253AD"/>
    <w:rsid w:val="000265D3"/>
    <w:rsid w:val="000279E6"/>
    <w:rsid w:val="000319D9"/>
    <w:rsid w:val="00032428"/>
    <w:rsid w:val="000378D4"/>
    <w:rsid w:val="00042432"/>
    <w:rsid w:val="00043F1F"/>
    <w:rsid w:val="000458E9"/>
    <w:rsid w:val="00056AF4"/>
    <w:rsid w:val="0006198D"/>
    <w:rsid w:val="00067554"/>
    <w:rsid w:val="00067BB7"/>
    <w:rsid w:val="00076987"/>
    <w:rsid w:val="00076E37"/>
    <w:rsid w:val="00077BD5"/>
    <w:rsid w:val="00084A69"/>
    <w:rsid w:val="000853DA"/>
    <w:rsid w:val="00085BEC"/>
    <w:rsid w:val="00086FAF"/>
    <w:rsid w:val="00091F50"/>
    <w:rsid w:val="00096CA9"/>
    <w:rsid w:val="00097BAD"/>
    <w:rsid w:val="000A04E2"/>
    <w:rsid w:val="000A0BE9"/>
    <w:rsid w:val="000A30B4"/>
    <w:rsid w:val="000A37CA"/>
    <w:rsid w:val="000A5A4E"/>
    <w:rsid w:val="000A60C0"/>
    <w:rsid w:val="000B524B"/>
    <w:rsid w:val="000C0960"/>
    <w:rsid w:val="000C284B"/>
    <w:rsid w:val="000C5AF6"/>
    <w:rsid w:val="000D2887"/>
    <w:rsid w:val="000D4CA1"/>
    <w:rsid w:val="000D7A36"/>
    <w:rsid w:val="000D7F93"/>
    <w:rsid w:val="000E3FB9"/>
    <w:rsid w:val="000E414C"/>
    <w:rsid w:val="000E7425"/>
    <w:rsid w:val="000F344D"/>
    <w:rsid w:val="000F7E2D"/>
    <w:rsid w:val="00101522"/>
    <w:rsid w:val="001052CE"/>
    <w:rsid w:val="001064E4"/>
    <w:rsid w:val="00110E27"/>
    <w:rsid w:val="001111B8"/>
    <w:rsid w:val="001112E4"/>
    <w:rsid w:val="0011195C"/>
    <w:rsid w:val="00112E51"/>
    <w:rsid w:val="00113F35"/>
    <w:rsid w:val="00134E99"/>
    <w:rsid w:val="001401E7"/>
    <w:rsid w:val="00142A01"/>
    <w:rsid w:val="00145A17"/>
    <w:rsid w:val="001509E0"/>
    <w:rsid w:val="00152508"/>
    <w:rsid w:val="00154D88"/>
    <w:rsid w:val="001555A4"/>
    <w:rsid w:val="00155719"/>
    <w:rsid w:val="001557F9"/>
    <w:rsid w:val="00155C30"/>
    <w:rsid w:val="00155C84"/>
    <w:rsid w:val="00171CEB"/>
    <w:rsid w:val="00174F22"/>
    <w:rsid w:val="00177911"/>
    <w:rsid w:val="0018101F"/>
    <w:rsid w:val="001832A3"/>
    <w:rsid w:val="00183F23"/>
    <w:rsid w:val="00184B6C"/>
    <w:rsid w:val="00194071"/>
    <w:rsid w:val="00196C54"/>
    <w:rsid w:val="001A242F"/>
    <w:rsid w:val="001A6037"/>
    <w:rsid w:val="001B15DB"/>
    <w:rsid w:val="001B5BB3"/>
    <w:rsid w:val="001B76C7"/>
    <w:rsid w:val="001C22F2"/>
    <w:rsid w:val="001C3354"/>
    <w:rsid w:val="001C4C91"/>
    <w:rsid w:val="001C63CC"/>
    <w:rsid w:val="001D0AB7"/>
    <w:rsid w:val="001D4619"/>
    <w:rsid w:val="001D5AE6"/>
    <w:rsid w:val="001E43D2"/>
    <w:rsid w:val="001E476E"/>
    <w:rsid w:val="001E4C03"/>
    <w:rsid w:val="001F00F0"/>
    <w:rsid w:val="001F154C"/>
    <w:rsid w:val="001F1DEE"/>
    <w:rsid w:val="001F2BE0"/>
    <w:rsid w:val="001F3FFD"/>
    <w:rsid w:val="001F46A6"/>
    <w:rsid w:val="001F48A8"/>
    <w:rsid w:val="001F6B32"/>
    <w:rsid w:val="001F72E9"/>
    <w:rsid w:val="002006CB"/>
    <w:rsid w:val="00203B96"/>
    <w:rsid w:val="00204C7C"/>
    <w:rsid w:val="00205513"/>
    <w:rsid w:val="00205C1D"/>
    <w:rsid w:val="00205F70"/>
    <w:rsid w:val="00206003"/>
    <w:rsid w:val="00214557"/>
    <w:rsid w:val="002200C2"/>
    <w:rsid w:val="002217A2"/>
    <w:rsid w:val="002263AC"/>
    <w:rsid w:val="002263CB"/>
    <w:rsid w:val="00241C4F"/>
    <w:rsid w:val="002472AD"/>
    <w:rsid w:val="00251215"/>
    <w:rsid w:val="00253CC0"/>
    <w:rsid w:val="0026152E"/>
    <w:rsid w:val="00263530"/>
    <w:rsid w:val="00263B8E"/>
    <w:rsid w:val="00263B91"/>
    <w:rsid w:val="002666ED"/>
    <w:rsid w:val="00271A57"/>
    <w:rsid w:val="00272045"/>
    <w:rsid w:val="002740F2"/>
    <w:rsid w:val="00274996"/>
    <w:rsid w:val="00274C79"/>
    <w:rsid w:val="00280036"/>
    <w:rsid w:val="00281C01"/>
    <w:rsid w:val="00286C4E"/>
    <w:rsid w:val="002871AE"/>
    <w:rsid w:val="00292FB9"/>
    <w:rsid w:val="00293441"/>
    <w:rsid w:val="002B03FB"/>
    <w:rsid w:val="002B1BD0"/>
    <w:rsid w:val="002B2783"/>
    <w:rsid w:val="002B3B66"/>
    <w:rsid w:val="002C0C2C"/>
    <w:rsid w:val="002C2007"/>
    <w:rsid w:val="002C21A3"/>
    <w:rsid w:val="002C7D9E"/>
    <w:rsid w:val="002D4143"/>
    <w:rsid w:val="002E18B4"/>
    <w:rsid w:val="002E3063"/>
    <w:rsid w:val="002E36D7"/>
    <w:rsid w:val="002E62FC"/>
    <w:rsid w:val="002E63E0"/>
    <w:rsid w:val="002E70A7"/>
    <w:rsid w:val="002F1076"/>
    <w:rsid w:val="002F1CB6"/>
    <w:rsid w:val="002F2B11"/>
    <w:rsid w:val="002F3A33"/>
    <w:rsid w:val="00305665"/>
    <w:rsid w:val="00307BCA"/>
    <w:rsid w:val="003170AF"/>
    <w:rsid w:val="003367C8"/>
    <w:rsid w:val="00340CA5"/>
    <w:rsid w:val="00347E4A"/>
    <w:rsid w:val="00351665"/>
    <w:rsid w:val="00353DBF"/>
    <w:rsid w:val="003634EF"/>
    <w:rsid w:val="00370898"/>
    <w:rsid w:val="00371B2E"/>
    <w:rsid w:val="00372796"/>
    <w:rsid w:val="00373BC7"/>
    <w:rsid w:val="003750E3"/>
    <w:rsid w:val="00381DEA"/>
    <w:rsid w:val="00382122"/>
    <w:rsid w:val="00383A1F"/>
    <w:rsid w:val="00384317"/>
    <w:rsid w:val="00386088"/>
    <w:rsid w:val="00387BF4"/>
    <w:rsid w:val="00393A77"/>
    <w:rsid w:val="00393D4E"/>
    <w:rsid w:val="0039562F"/>
    <w:rsid w:val="003959EF"/>
    <w:rsid w:val="0039700A"/>
    <w:rsid w:val="003A2FE1"/>
    <w:rsid w:val="003A318C"/>
    <w:rsid w:val="003A42D8"/>
    <w:rsid w:val="003B12C9"/>
    <w:rsid w:val="003B630B"/>
    <w:rsid w:val="003B748B"/>
    <w:rsid w:val="003C46B4"/>
    <w:rsid w:val="003C6644"/>
    <w:rsid w:val="003C683B"/>
    <w:rsid w:val="003D1692"/>
    <w:rsid w:val="003D2F8A"/>
    <w:rsid w:val="003D32C1"/>
    <w:rsid w:val="003D665A"/>
    <w:rsid w:val="003D6855"/>
    <w:rsid w:val="003D6D4A"/>
    <w:rsid w:val="003E0BBA"/>
    <w:rsid w:val="003E4D76"/>
    <w:rsid w:val="003E5E07"/>
    <w:rsid w:val="003E71B0"/>
    <w:rsid w:val="003E7AA6"/>
    <w:rsid w:val="003F0249"/>
    <w:rsid w:val="003F3D71"/>
    <w:rsid w:val="003F4287"/>
    <w:rsid w:val="00400A8D"/>
    <w:rsid w:val="00401664"/>
    <w:rsid w:val="00401E7D"/>
    <w:rsid w:val="004036EA"/>
    <w:rsid w:val="00403803"/>
    <w:rsid w:val="00403A45"/>
    <w:rsid w:val="00410112"/>
    <w:rsid w:val="00411F2E"/>
    <w:rsid w:val="00414644"/>
    <w:rsid w:val="00416A5F"/>
    <w:rsid w:val="00416F08"/>
    <w:rsid w:val="00416F63"/>
    <w:rsid w:val="0042158C"/>
    <w:rsid w:val="00421FD5"/>
    <w:rsid w:val="004235C8"/>
    <w:rsid w:val="004237AB"/>
    <w:rsid w:val="00425D23"/>
    <w:rsid w:val="00430100"/>
    <w:rsid w:val="004328E8"/>
    <w:rsid w:val="00442EA6"/>
    <w:rsid w:val="00443170"/>
    <w:rsid w:val="004462A9"/>
    <w:rsid w:val="00452838"/>
    <w:rsid w:val="00453FBD"/>
    <w:rsid w:val="00454475"/>
    <w:rsid w:val="00456334"/>
    <w:rsid w:val="00456D3B"/>
    <w:rsid w:val="00457D9B"/>
    <w:rsid w:val="00457D9C"/>
    <w:rsid w:val="00462ECD"/>
    <w:rsid w:val="00462EEC"/>
    <w:rsid w:val="00463730"/>
    <w:rsid w:val="00477359"/>
    <w:rsid w:val="00483FE9"/>
    <w:rsid w:val="0048512C"/>
    <w:rsid w:val="00490C29"/>
    <w:rsid w:val="004A32F9"/>
    <w:rsid w:val="004A3932"/>
    <w:rsid w:val="004A4834"/>
    <w:rsid w:val="004B1AD2"/>
    <w:rsid w:val="004B2DE4"/>
    <w:rsid w:val="004B5606"/>
    <w:rsid w:val="004B6975"/>
    <w:rsid w:val="004C0282"/>
    <w:rsid w:val="004C3EE7"/>
    <w:rsid w:val="004C43E3"/>
    <w:rsid w:val="004D0A84"/>
    <w:rsid w:val="004D2138"/>
    <w:rsid w:val="004D490C"/>
    <w:rsid w:val="004D5AC6"/>
    <w:rsid w:val="004D70AD"/>
    <w:rsid w:val="004E1204"/>
    <w:rsid w:val="004E2009"/>
    <w:rsid w:val="004E727C"/>
    <w:rsid w:val="004F0F40"/>
    <w:rsid w:val="004F1C98"/>
    <w:rsid w:val="004F33B7"/>
    <w:rsid w:val="004F42D8"/>
    <w:rsid w:val="00504593"/>
    <w:rsid w:val="00505738"/>
    <w:rsid w:val="00506568"/>
    <w:rsid w:val="00514468"/>
    <w:rsid w:val="00514635"/>
    <w:rsid w:val="0051523B"/>
    <w:rsid w:val="00515B2E"/>
    <w:rsid w:val="005257BD"/>
    <w:rsid w:val="0053635C"/>
    <w:rsid w:val="00537A42"/>
    <w:rsid w:val="005419D7"/>
    <w:rsid w:val="0054395A"/>
    <w:rsid w:val="00547364"/>
    <w:rsid w:val="00551959"/>
    <w:rsid w:val="0055273B"/>
    <w:rsid w:val="005537CC"/>
    <w:rsid w:val="00553AA5"/>
    <w:rsid w:val="00556D7C"/>
    <w:rsid w:val="00557DFB"/>
    <w:rsid w:val="00565D61"/>
    <w:rsid w:val="00567496"/>
    <w:rsid w:val="005705DC"/>
    <w:rsid w:val="005748E2"/>
    <w:rsid w:val="00574A7B"/>
    <w:rsid w:val="00593E08"/>
    <w:rsid w:val="00597769"/>
    <w:rsid w:val="005A065D"/>
    <w:rsid w:val="005A1F2D"/>
    <w:rsid w:val="005A7F9F"/>
    <w:rsid w:val="005B2CBF"/>
    <w:rsid w:val="005B38AE"/>
    <w:rsid w:val="005B3B79"/>
    <w:rsid w:val="005B54E0"/>
    <w:rsid w:val="005B5BAC"/>
    <w:rsid w:val="005C0CE0"/>
    <w:rsid w:val="005C1B98"/>
    <w:rsid w:val="005C5CF4"/>
    <w:rsid w:val="005D0CB5"/>
    <w:rsid w:val="005D2691"/>
    <w:rsid w:val="005D4796"/>
    <w:rsid w:val="005D688B"/>
    <w:rsid w:val="005E2684"/>
    <w:rsid w:val="005E475D"/>
    <w:rsid w:val="005F0B98"/>
    <w:rsid w:val="00601BE2"/>
    <w:rsid w:val="00602AA9"/>
    <w:rsid w:val="00611EF5"/>
    <w:rsid w:val="0061787B"/>
    <w:rsid w:val="0062042D"/>
    <w:rsid w:val="0062566D"/>
    <w:rsid w:val="006276AE"/>
    <w:rsid w:val="006321C2"/>
    <w:rsid w:val="00645C33"/>
    <w:rsid w:val="00654867"/>
    <w:rsid w:val="00660F21"/>
    <w:rsid w:val="006655D4"/>
    <w:rsid w:val="00666539"/>
    <w:rsid w:val="0067293B"/>
    <w:rsid w:val="00675133"/>
    <w:rsid w:val="006770A0"/>
    <w:rsid w:val="00680715"/>
    <w:rsid w:val="00682ECE"/>
    <w:rsid w:val="00683DCC"/>
    <w:rsid w:val="00683F21"/>
    <w:rsid w:val="0069019C"/>
    <w:rsid w:val="00692E6F"/>
    <w:rsid w:val="006943F6"/>
    <w:rsid w:val="00694E51"/>
    <w:rsid w:val="00696597"/>
    <w:rsid w:val="0069764B"/>
    <w:rsid w:val="006A00E6"/>
    <w:rsid w:val="006A0475"/>
    <w:rsid w:val="006A06C8"/>
    <w:rsid w:val="006A302C"/>
    <w:rsid w:val="006A4C87"/>
    <w:rsid w:val="006A7F2C"/>
    <w:rsid w:val="006B1F13"/>
    <w:rsid w:val="006B3C01"/>
    <w:rsid w:val="006B6249"/>
    <w:rsid w:val="006D01B5"/>
    <w:rsid w:val="006D20DA"/>
    <w:rsid w:val="006D2AAB"/>
    <w:rsid w:val="006D3DAE"/>
    <w:rsid w:val="006D46B2"/>
    <w:rsid w:val="006E111D"/>
    <w:rsid w:val="006E41C2"/>
    <w:rsid w:val="0070174C"/>
    <w:rsid w:val="007056A4"/>
    <w:rsid w:val="00706801"/>
    <w:rsid w:val="0071247F"/>
    <w:rsid w:val="007149C5"/>
    <w:rsid w:val="00720B2C"/>
    <w:rsid w:val="00721457"/>
    <w:rsid w:val="00724C37"/>
    <w:rsid w:val="007278F4"/>
    <w:rsid w:val="007367D7"/>
    <w:rsid w:val="007407B9"/>
    <w:rsid w:val="00741141"/>
    <w:rsid w:val="00742884"/>
    <w:rsid w:val="00750476"/>
    <w:rsid w:val="007509BC"/>
    <w:rsid w:val="00755627"/>
    <w:rsid w:val="00761058"/>
    <w:rsid w:val="00767EA2"/>
    <w:rsid w:val="00773DA0"/>
    <w:rsid w:val="007872C0"/>
    <w:rsid w:val="00787796"/>
    <w:rsid w:val="00794637"/>
    <w:rsid w:val="0079759B"/>
    <w:rsid w:val="007A277F"/>
    <w:rsid w:val="007A399D"/>
    <w:rsid w:val="007A401B"/>
    <w:rsid w:val="007A466F"/>
    <w:rsid w:val="007A568A"/>
    <w:rsid w:val="007B549A"/>
    <w:rsid w:val="007C1125"/>
    <w:rsid w:val="007C5646"/>
    <w:rsid w:val="007C5E49"/>
    <w:rsid w:val="007C79DB"/>
    <w:rsid w:val="007D6288"/>
    <w:rsid w:val="007D63C5"/>
    <w:rsid w:val="007D659E"/>
    <w:rsid w:val="007D7078"/>
    <w:rsid w:val="007D726F"/>
    <w:rsid w:val="007D76EE"/>
    <w:rsid w:val="007E2177"/>
    <w:rsid w:val="007E46F7"/>
    <w:rsid w:val="007E78B8"/>
    <w:rsid w:val="007E7A69"/>
    <w:rsid w:val="007E7D5C"/>
    <w:rsid w:val="007F14BA"/>
    <w:rsid w:val="007F60FE"/>
    <w:rsid w:val="00800B48"/>
    <w:rsid w:val="00804328"/>
    <w:rsid w:val="008067EC"/>
    <w:rsid w:val="00807334"/>
    <w:rsid w:val="008104F1"/>
    <w:rsid w:val="008145B2"/>
    <w:rsid w:val="00816AC9"/>
    <w:rsid w:val="008341EA"/>
    <w:rsid w:val="00840846"/>
    <w:rsid w:val="00842D2D"/>
    <w:rsid w:val="0085052A"/>
    <w:rsid w:val="008536EF"/>
    <w:rsid w:val="00854077"/>
    <w:rsid w:val="00864BF2"/>
    <w:rsid w:val="00864FC2"/>
    <w:rsid w:val="00867294"/>
    <w:rsid w:val="0086737B"/>
    <w:rsid w:val="008755A3"/>
    <w:rsid w:val="00881965"/>
    <w:rsid w:val="00883FAE"/>
    <w:rsid w:val="008855CE"/>
    <w:rsid w:val="0088727A"/>
    <w:rsid w:val="00890E70"/>
    <w:rsid w:val="00892B2C"/>
    <w:rsid w:val="008942CC"/>
    <w:rsid w:val="008A0A08"/>
    <w:rsid w:val="008A1B21"/>
    <w:rsid w:val="008A4728"/>
    <w:rsid w:val="008A47B0"/>
    <w:rsid w:val="008A55E0"/>
    <w:rsid w:val="008A6EAA"/>
    <w:rsid w:val="008B2FC8"/>
    <w:rsid w:val="008D27BB"/>
    <w:rsid w:val="008D395F"/>
    <w:rsid w:val="008D583E"/>
    <w:rsid w:val="008D7E3D"/>
    <w:rsid w:val="008E04A0"/>
    <w:rsid w:val="008E3561"/>
    <w:rsid w:val="008E72BF"/>
    <w:rsid w:val="008F066A"/>
    <w:rsid w:val="008F42DB"/>
    <w:rsid w:val="008F4581"/>
    <w:rsid w:val="008F5641"/>
    <w:rsid w:val="008F6133"/>
    <w:rsid w:val="008F66D5"/>
    <w:rsid w:val="00900A85"/>
    <w:rsid w:val="00901A37"/>
    <w:rsid w:val="00901B87"/>
    <w:rsid w:val="0090242D"/>
    <w:rsid w:val="00906509"/>
    <w:rsid w:val="009118DE"/>
    <w:rsid w:val="00913492"/>
    <w:rsid w:val="00917CFA"/>
    <w:rsid w:val="00926993"/>
    <w:rsid w:val="009356E5"/>
    <w:rsid w:val="00935AA8"/>
    <w:rsid w:val="00937977"/>
    <w:rsid w:val="00937FC2"/>
    <w:rsid w:val="00942351"/>
    <w:rsid w:val="00942D27"/>
    <w:rsid w:val="00945EE7"/>
    <w:rsid w:val="0094648D"/>
    <w:rsid w:val="0094765F"/>
    <w:rsid w:val="0094784C"/>
    <w:rsid w:val="009526C7"/>
    <w:rsid w:val="00954105"/>
    <w:rsid w:val="00954BB2"/>
    <w:rsid w:val="00956102"/>
    <w:rsid w:val="009651E1"/>
    <w:rsid w:val="009700C4"/>
    <w:rsid w:val="00970178"/>
    <w:rsid w:val="00971558"/>
    <w:rsid w:val="0097364A"/>
    <w:rsid w:val="0097409A"/>
    <w:rsid w:val="00977ED0"/>
    <w:rsid w:val="00977ED4"/>
    <w:rsid w:val="00980AEE"/>
    <w:rsid w:val="009822FE"/>
    <w:rsid w:val="00986C3D"/>
    <w:rsid w:val="00995D3C"/>
    <w:rsid w:val="009A1301"/>
    <w:rsid w:val="009A2D16"/>
    <w:rsid w:val="009B261F"/>
    <w:rsid w:val="009C4A98"/>
    <w:rsid w:val="009C4C91"/>
    <w:rsid w:val="009C5327"/>
    <w:rsid w:val="009D036E"/>
    <w:rsid w:val="009D1017"/>
    <w:rsid w:val="009D1452"/>
    <w:rsid w:val="009E4456"/>
    <w:rsid w:val="009E69CD"/>
    <w:rsid w:val="009E6CD8"/>
    <w:rsid w:val="009F00D8"/>
    <w:rsid w:val="009F0B5C"/>
    <w:rsid w:val="009F1BBA"/>
    <w:rsid w:val="009F455A"/>
    <w:rsid w:val="009F64C7"/>
    <w:rsid w:val="00A00342"/>
    <w:rsid w:val="00A03729"/>
    <w:rsid w:val="00A0466B"/>
    <w:rsid w:val="00A06FBA"/>
    <w:rsid w:val="00A071D7"/>
    <w:rsid w:val="00A0787E"/>
    <w:rsid w:val="00A211E0"/>
    <w:rsid w:val="00A253EF"/>
    <w:rsid w:val="00A34C9D"/>
    <w:rsid w:val="00A35196"/>
    <w:rsid w:val="00A40A22"/>
    <w:rsid w:val="00A40B8D"/>
    <w:rsid w:val="00A40C70"/>
    <w:rsid w:val="00A44784"/>
    <w:rsid w:val="00A45200"/>
    <w:rsid w:val="00A45393"/>
    <w:rsid w:val="00A51379"/>
    <w:rsid w:val="00A5239F"/>
    <w:rsid w:val="00A56493"/>
    <w:rsid w:val="00A60C70"/>
    <w:rsid w:val="00A612E3"/>
    <w:rsid w:val="00A71250"/>
    <w:rsid w:val="00A81D48"/>
    <w:rsid w:val="00A86DB5"/>
    <w:rsid w:val="00A9114E"/>
    <w:rsid w:val="00A94966"/>
    <w:rsid w:val="00A96E28"/>
    <w:rsid w:val="00A96EDA"/>
    <w:rsid w:val="00AA1275"/>
    <w:rsid w:val="00AA2528"/>
    <w:rsid w:val="00AA447A"/>
    <w:rsid w:val="00AA4DE4"/>
    <w:rsid w:val="00AB2B58"/>
    <w:rsid w:val="00AB561E"/>
    <w:rsid w:val="00AD0910"/>
    <w:rsid w:val="00AD0CBB"/>
    <w:rsid w:val="00AD5177"/>
    <w:rsid w:val="00AE0BB2"/>
    <w:rsid w:val="00AE20CD"/>
    <w:rsid w:val="00AE2633"/>
    <w:rsid w:val="00AE4826"/>
    <w:rsid w:val="00AF0569"/>
    <w:rsid w:val="00AF2AAC"/>
    <w:rsid w:val="00AF7000"/>
    <w:rsid w:val="00B002E9"/>
    <w:rsid w:val="00B03BCF"/>
    <w:rsid w:val="00B05792"/>
    <w:rsid w:val="00B07073"/>
    <w:rsid w:val="00B158F9"/>
    <w:rsid w:val="00B15CD7"/>
    <w:rsid w:val="00B169E1"/>
    <w:rsid w:val="00B2084B"/>
    <w:rsid w:val="00B20FC9"/>
    <w:rsid w:val="00B21D76"/>
    <w:rsid w:val="00B3127C"/>
    <w:rsid w:val="00B32AFF"/>
    <w:rsid w:val="00B32F76"/>
    <w:rsid w:val="00B35579"/>
    <w:rsid w:val="00B359F4"/>
    <w:rsid w:val="00B4025E"/>
    <w:rsid w:val="00B429F3"/>
    <w:rsid w:val="00B42AD1"/>
    <w:rsid w:val="00B4410C"/>
    <w:rsid w:val="00B4792E"/>
    <w:rsid w:val="00B51F77"/>
    <w:rsid w:val="00B52DAF"/>
    <w:rsid w:val="00B56E2B"/>
    <w:rsid w:val="00B608A3"/>
    <w:rsid w:val="00B62650"/>
    <w:rsid w:val="00B643B5"/>
    <w:rsid w:val="00B64CCB"/>
    <w:rsid w:val="00B6745D"/>
    <w:rsid w:val="00B70083"/>
    <w:rsid w:val="00B70BE3"/>
    <w:rsid w:val="00B822A2"/>
    <w:rsid w:val="00B9031B"/>
    <w:rsid w:val="00B91580"/>
    <w:rsid w:val="00B927F7"/>
    <w:rsid w:val="00B94965"/>
    <w:rsid w:val="00B97028"/>
    <w:rsid w:val="00BA2473"/>
    <w:rsid w:val="00BA2BFB"/>
    <w:rsid w:val="00BA5402"/>
    <w:rsid w:val="00BA5C4F"/>
    <w:rsid w:val="00BA673E"/>
    <w:rsid w:val="00BA6ABE"/>
    <w:rsid w:val="00BB04B5"/>
    <w:rsid w:val="00BB4266"/>
    <w:rsid w:val="00BB56D3"/>
    <w:rsid w:val="00BC3C1E"/>
    <w:rsid w:val="00BC4322"/>
    <w:rsid w:val="00BC681D"/>
    <w:rsid w:val="00BC6C66"/>
    <w:rsid w:val="00BC6FC3"/>
    <w:rsid w:val="00BD27FA"/>
    <w:rsid w:val="00BE045E"/>
    <w:rsid w:val="00BE40DC"/>
    <w:rsid w:val="00BF031B"/>
    <w:rsid w:val="00BF1FA2"/>
    <w:rsid w:val="00BF2B94"/>
    <w:rsid w:val="00BF56F4"/>
    <w:rsid w:val="00C015E5"/>
    <w:rsid w:val="00C01F2D"/>
    <w:rsid w:val="00C028C5"/>
    <w:rsid w:val="00C030C8"/>
    <w:rsid w:val="00C03D0C"/>
    <w:rsid w:val="00C04B72"/>
    <w:rsid w:val="00C05415"/>
    <w:rsid w:val="00C1163B"/>
    <w:rsid w:val="00C11646"/>
    <w:rsid w:val="00C121A7"/>
    <w:rsid w:val="00C17DDC"/>
    <w:rsid w:val="00C227A8"/>
    <w:rsid w:val="00C2368E"/>
    <w:rsid w:val="00C242A0"/>
    <w:rsid w:val="00C268D5"/>
    <w:rsid w:val="00C26FF6"/>
    <w:rsid w:val="00C321E5"/>
    <w:rsid w:val="00C334EB"/>
    <w:rsid w:val="00C34750"/>
    <w:rsid w:val="00C35123"/>
    <w:rsid w:val="00C36588"/>
    <w:rsid w:val="00C36DD2"/>
    <w:rsid w:val="00C466B7"/>
    <w:rsid w:val="00C539CC"/>
    <w:rsid w:val="00C61983"/>
    <w:rsid w:val="00C64F5B"/>
    <w:rsid w:val="00C65705"/>
    <w:rsid w:val="00C6686E"/>
    <w:rsid w:val="00C70BD7"/>
    <w:rsid w:val="00C73F0F"/>
    <w:rsid w:val="00C7717A"/>
    <w:rsid w:val="00C84D83"/>
    <w:rsid w:val="00C86290"/>
    <w:rsid w:val="00C901AE"/>
    <w:rsid w:val="00C92975"/>
    <w:rsid w:val="00C96D2E"/>
    <w:rsid w:val="00CA224A"/>
    <w:rsid w:val="00CB1732"/>
    <w:rsid w:val="00CB3A85"/>
    <w:rsid w:val="00CB3DCC"/>
    <w:rsid w:val="00CB5A2E"/>
    <w:rsid w:val="00CC11E7"/>
    <w:rsid w:val="00CC3BC0"/>
    <w:rsid w:val="00CC74DD"/>
    <w:rsid w:val="00CD6B29"/>
    <w:rsid w:val="00CD73B9"/>
    <w:rsid w:val="00CE204B"/>
    <w:rsid w:val="00CE6883"/>
    <w:rsid w:val="00CF0806"/>
    <w:rsid w:val="00CF6755"/>
    <w:rsid w:val="00D023B3"/>
    <w:rsid w:val="00D04CD5"/>
    <w:rsid w:val="00D04EAC"/>
    <w:rsid w:val="00D05E9C"/>
    <w:rsid w:val="00D06208"/>
    <w:rsid w:val="00D109A4"/>
    <w:rsid w:val="00D111F6"/>
    <w:rsid w:val="00D1474D"/>
    <w:rsid w:val="00D17D24"/>
    <w:rsid w:val="00D2109E"/>
    <w:rsid w:val="00D25AF6"/>
    <w:rsid w:val="00D363DF"/>
    <w:rsid w:val="00D43932"/>
    <w:rsid w:val="00D43B41"/>
    <w:rsid w:val="00D5116F"/>
    <w:rsid w:val="00D5134E"/>
    <w:rsid w:val="00D515B5"/>
    <w:rsid w:val="00D6107F"/>
    <w:rsid w:val="00D672EF"/>
    <w:rsid w:val="00D70818"/>
    <w:rsid w:val="00D71682"/>
    <w:rsid w:val="00D72028"/>
    <w:rsid w:val="00D73E05"/>
    <w:rsid w:val="00D74214"/>
    <w:rsid w:val="00D774EB"/>
    <w:rsid w:val="00D814AF"/>
    <w:rsid w:val="00D91580"/>
    <w:rsid w:val="00D91B20"/>
    <w:rsid w:val="00D93096"/>
    <w:rsid w:val="00D9465E"/>
    <w:rsid w:val="00D95E72"/>
    <w:rsid w:val="00DA2075"/>
    <w:rsid w:val="00DA564A"/>
    <w:rsid w:val="00DA607B"/>
    <w:rsid w:val="00DA6BE8"/>
    <w:rsid w:val="00DB11FD"/>
    <w:rsid w:val="00DB3A72"/>
    <w:rsid w:val="00DB3B43"/>
    <w:rsid w:val="00DB6D1B"/>
    <w:rsid w:val="00DB7363"/>
    <w:rsid w:val="00DC1E9B"/>
    <w:rsid w:val="00DC3F31"/>
    <w:rsid w:val="00DC586B"/>
    <w:rsid w:val="00DC6933"/>
    <w:rsid w:val="00DD0C4B"/>
    <w:rsid w:val="00DD326F"/>
    <w:rsid w:val="00DF42B1"/>
    <w:rsid w:val="00E01E58"/>
    <w:rsid w:val="00E04190"/>
    <w:rsid w:val="00E042A5"/>
    <w:rsid w:val="00E066CB"/>
    <w:rsid w:val="00E075EB"/>
    <w:rsid w:val="00E11BA1"/>
    <w:rsid w:val="00E135F1"/>
    <w:rsid w:val="00E1601F"/>
    <w:rsid w:val="00E16045"/>
    <w:rsid w:val="00E20283"/>
    <w:rsid w:val="00E22D2C"/>
    <w:rsid w:val="00E26878"/>
    <w:rsid w:val="00E26DB8"/>
    <w:rsid w:val="00E34364"/>
    <w:rsid w:val="00E36450"/>
    <w:rsid w:val="00E43994"/>
    <w:rsid w:val="00E45BCD"/>
    <w:rsid w:val="00E47580"/>
    <w:rsid w:val="00E60717"/>
    <w:rsid w:val="00E6246D"/>
    <w:rsid w:val="00E63B60"/>
    <w:rsid w:val="00E670ED"/>
    <w:rsid w:val="00E70867"/>
    <w:rsid w:val="00E71959"/>
    <w:rsid w:val="00E71DB8"/>
    <w:rsid w:val="00E73B43"/>
    <w:rsid w:val="00E7463E"/>
    <w:rsid w:val="00E80DCF"/>
    <w:rsid w:val="00E818E2"/>
    <w:rsid w:val="00E907FA"/>
    <w:rsid w:val="00E91C2E"/>
    <w:rsid w:val="00E93FCC"/>
    <w:rsid w:val="00E95388"/>
    <w:rsid w:val="00EA3E5E"/>
    <w:rsid w:val="00EA4745"/>
    <w:rsid w:val="00EB0D71"/>
    <w:rsid w:val="00EB17BC"/>
    <w:rsid w:val="00EC093A"/>
    <w:rsid w:val="00EC0AD0"/>
    <w:rsid w:val="00EC32F1"/>
    <w:rsid w:val="00EC44EE"/>
    <w:rsid w:val="00EC7366"/>
    <w:rsid w:val="00ED0178"/>
    <w:rsid w:val="00ED30E6"/>
    <w:rsid w:val="00ED75D9"/>
    <w:rsid w:val="00EE4B3E"/>
    <w:rsid w:val="00EF0061"/>
    <w:rsid w:val="00EF0F13"/>
    <w:rsid w:val="00EF55AB"/>
    <w:rsid w:val="00EF5F78"/>
    <w:rsid w:val="00F03C1C"/>
    <w:rsid w:val="00F04827"/>
    <w:rsid w:val="00F050A4"/>
    <w:rsid w:val="00F06D67"/>
    <w:rsid w:val="00F11117"/>
    <w:rsid w:val="00F145AD"/>
    <w:rsid w:val="00F16E7B"/>
    <w:rsid w:val="00F177D5"/>
    <w:rsid w:val="00F2200E"/>
    <w:rsid w:val="00F226FA"/>
    <w:rsid w:val="00F26322"/>
    <w:rsid w:val="00F30ACA"/>
    <w:rsid w:val="00F30AD2"/>
    <w:rsid w:val="00F31276"/>
    <w:rsid w:val="00F342C3"/>
    <w:rsid w:val="00F34353"/>
    <w:rsid w:val="00F3606F"/>
    <w:rsid w:val="00F40D26"/>
    <w:rsid w:val="00F4235D"/>
    <w:rsid w:val="00F4356A"/>
    <w:rsid w:val="00F44AF7"/>
    <w:rsid w:val="00F513D7"/>
    <w:rsid w:val="00F52216"/>
    <w:rsid w:val="00F53B3D"/>
    <w:rsid w:val="00F56890"/>
    <w:rsid w:val="00F57411"/>
    <w:rsid w:val="00F628D8"/>
    <w:rsid w:val="00F64371"/>
    <w:rsid w:val="00F64562"/>
    <w:rsid w:val="00F65392"/>
    <w:rsid w:val="00F65D54"/>
    <w:rsid w:val="00F75CC3"/>
    <w:rsid w:val="00F75E6D"/>
    <w:rsid w:val="00F8026D"/>
    <w:rsid w:val="00F815DC"/>
    <w:rsid w:val="00F82BEE"/>
    <w:rsid w:val="00F968D1"/>
    <w:rsid w:val="00F97DB1"/>
    <w:rsid w:val="00FA217B"/>
    <w:rsid w:val="00FA413F"/>
    <w:rsid w:val="00FA72BF"/>
    <w:rsid w:val="00FB04DC"/>
    <w:rsid w:val="00FB07C8"/>
    <w:rsid w:val="00FB1DF0"/>
    <w:rsid w:val="00FB341C"/>
    <w:rsid w:val="00FB3AD4"/>
    <w:rsid w:val="00FB419F"/>
    <w:rsid w:val="00FB4633"/>
    <w:rsid w:val="00FB556E"/>
    <w:rsid w:val="00FC0A00"/>
    <w:rsid w:val="00FC1A6B"/>
    <w:rsid w:val="00FC256F"/>
    <w:rsid w:val="00FD213E"/>
    <w:rsid w:val="00FD5C77"/>
    <w:rsid w:val="00FD63FA"/>
    <w:rsid w:val="00FE2B86"/>
    <w:rsid w:val="00FE6053"/>
    <w:rsid w:val="00FE6C6D"/>
    <w:rsid w:val="00FF2821"/>
    <w:rsid w:val="00FF4893"/>
    <w:rsid w:val="20991853"/>
    <w:rsid w:val="40460EBF"/>
    <w:rsid w:val="406E07D7"/>
    <w:rsid w:val="44C147DB"/>
    <w:rsid w:val="49FA026B"/>
    <w:rsid w:val="4E254F14"/>
    <w:rsid w:val="5D7145F5"/>
    <w:rsid w:val="5FCD7FCA"/>
    <w:rsid w:val="6F0324CF"/>
    <w:rsid w:val="77411C05"/>
    <w:rsid w:val="7AFB4D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Dat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D213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qFormat/>
    <w:rsid w:val="00FD213E"/>
    <w:pPr>
      <w:ind w:leftChars="2500" w:left="100"/>
    </w:pPr>
  </w:style>
  <w:style w:type="paragraph" w:styleId="a4">
    <w:name w:val="Balloon Text"/>
    <w:basedOn w:val="a"/>
    <w:semiHidden/>
    <w:qFormat/>
    <w:rsid w:val="00FD213E"/>
    <w:rPr>
      <w:sz w:val="18"/>
      <w:szCs w:val="18"/>
    </w:rPr>
  </w:style>
  <w:style w:type="paragraph" w:styleId="a5">
    <w:name w:val="footer"/>
    <w:basedOn w:val="a"/>
    <w:link w:val="Char"/>
    <w:qFormat/>
    <w:rsid w:val="00FD213E"/>
    <w:pPr>
      <w:tabs>
        <w:tab w:val="center" w:pos="4153"/>
        <w:tab w:val="right" w:pos="8306"/>
      </w:tabs>
      <w:snapToGrid w:val="0"/>
      <w:jc w:val="left"/>
    </w:pPr>
    <w:rPr>
      <w:sz w:val="18"/>
      <w:szCs w:val="18"/>
    </w:rPr>
  </w:style>
  <w:style w:type="paragraph" w:styleId="a6">
    <w:name w:val="header"/>
    <w:basedOn w:val="a"/>
    <w:link w:val="Char0"/>
    <w:rsid w:val="00FD213E"/>
    <w:pPr>
      <w:pBdr>
        <w:bottom w:val="single" w:sz="6" w:space="1" w:color="auto"/>
      </w:pBdr>
      <w:tabs>
        <w:tab w:val="center" w:pos="4153"/>
        <w:tab w:val="right" w:pos="8306"/>
      </w:tabs>
      <w:snapToGrid w:val="0"/>
      <w:jc w:val="center"/>
    </w:pPr>
    <w:rPr>
      <w:sz w:val="18"/>
      <w:szCs w:val="18"/>
    </w:rPr>
  </w:style>
  <w:style w:type="character" w:styleId="a7">
    <w:name w:val="Hyperlink"/>
    <w:qFormat/>
    <w:rsid w:val="00FD213E"/>
    <w:rPr>
      <w:color w:val="0000FF"/>
      <w:u w:val="single"/>
    </w:rPr>
  </w:style>
  <w:style w:type="character" w:customStyle="1" w:styleId="Char0">
    <w:name w:val="页眉 Char"/>
    <w:link w:val="a6"/>
    <w:qFormat/>
    <w:rsid w:val="00FD213E"/>
    <w:rPr>
      <w:kern w:val="2"/>
      <w:sz w:val="18"/>
      <w:szCs w:val="18"/>
    </w:rPr>
  </w:style>
  <w:style w:type="character" w:customStyle="1" w:styleId="Char">
    <w:name w:val="页脚 Char"/>
    <w:link w:val="a5"/>
    <w:qFormat/>
    <w:rsid w:val="00FD213E"/>
    <w:rPr>
      <w:kern w:val="2"/>
      <w:sz w:val="18"/>
      <w:szCs w:val="18"/>
    </w:rPr>
  </w:style>
  <w:style w:type="paragraph" w:styleId="a8">
    <w:name w:val="List Paragraph"/>
    <w:basedOn w:val="a"/>
    <w:uiPriority w:val="34"/>
    <w:qFormat/>
    <w:rsid w:val="00FD213E"/>
    <w:pPr>
      <w:ind w:firstLineChars="200" w:firstLine="420"/>
    </w:pPr>
  </w:style>
</w:styles>
</file>

<file path=word/webSettings.xml><?xml version="1.0" encoding="utf-8"?>
<w:webSettings xmlns:r="http://schemas.openxmlformats.org/officeDocument/2006/relationships" xmlns:w="http://schemas.openxmlformats.org/wordprocessingml/2006/main">
  <w:divs>
    <w:div w:id="7111984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C07636-3A01-452A-A627-EDCDB2EC6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4</Pages>
  <Words>406</Words>
  <Characters>2317</Characters>
  <Application>Microsoft Office Word</Application>
  <DocSecurity>0</DocSecurity>
  <Lines>19</Lines>
  <Paragraphs>5</Paragraphs>
  <ScaleCrop>false</ScaleCrop>
  <Company>Microsoft</Company>
  <LinksUpToDate>false</LinksUpToDate>
  <CharactersWithSpaces>2718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常州龙城古园建筑、安装工程编制说明</dc:title>
  <dc:creator>User</dc:creator>
  <cp:lastModifiedBy>USER-</cp:lastModifiedBy>
  <cp:revision>13</cp:revision>
  <cp:lastPrinted>2018-05-24T08:23:00Z</cp:lastPrinted>
  <dcterms:created xsi:type="dcterms:W3CDTF">2019-05-27T02:31:00Z</dcterms:created>
  <dcterms:modified xsi:type="dcterms:W3CDTF">2019-06-12T09:04:00Z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2052-11.1.0.8597</vt:lpwstr>
  </property>
</Properties>
</file>