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b/>
          <w:bCs/>
          <w:sz w:val="60"/>
          <w:szCs w:val="60"/>
          <w:highlight w:val="none"/>
        </w:rPr>
      </w:pPr>
    </w:p>
    <w:p>
      <w:pPr>
        <w:spacing w:line="360" w:lineRule="auto"/>
        <w:rPr>
          <w:rFonts w:hint="eastAsia"/>
          <w:b/>
          <w:bCs/>
          <w:sz w:val="60"/>
          <w:szCs w:val="60"/>
          <w:highlight w:val="none"/>
        </w:rPr>
      </w:pPr>
    </w:p>
    <w:p>
      <w:pPr>
        <w:spacing w:line="360" w:lineRule="auto"/>
        <w:rPr>
          <w:rFonts w:hint="eastAsia"/>
          <w:b/>
          <w:bCs/>
          <w:sz w:val="60"/>
          <w:szCs w:val="60"/>
          <w:highlight w:val="none"/>
        </w:rPr>
      </w:pPr>
    </w:p>
    <w:p>
      <w:pPr>
        <w:spacing w:line="360" w:lineRule="auto"/>
        <w:jc w:val="center"/>
        <w:rPr>
          <w:rFonts w:hint="eastAsia"/>
          <w:b/>
          <w:bCs/>
          <w:sz w:val="60"/>
          <w:szCs w:val="60"/>
          <w:highlight w:val="none"/>
        </w:rPr>
      </w:pPr>
      <w:r>
        <w:rPr>
          <w:rFonts w:hint="eastAsia"/>
          <w:b/>
          <w:bCs/>
          <w:sz w:val="60"/>
          <w:szCs w:val="60"/>
          <w:highlight w:val="none"/>
        </w:rPr>
        <w:t>常州市金坛区教育局</w:t>
      </w:r>
    </w:p>
    <w:p>
      <w:pPr>
        <w:spacing w:line="360" w:lineRule="auto"/>
        <w:jc w:val="center"/>
        <w:outlineLvl w:val="0"/>
        <w:rPr>
          <w:rFonts w:hint="eastAsia" w:ascii="宋体" w:hAnsi="宋体" w:eastAsia="宋体"/>
          <w:b/>
          <w:bCs/>
          <w:sz w:val="60"/>
          <w:szCs w:val="60"/>
          <w:highlight w:val="none"/>
          <w:lang w:eastAsia="zh-CN"/>
        </w:rPr>
      </w:pPr>
      <w:bookmarkStart w:id="0" w:name="_Toc31214"/>
      <w:r>
        <w:rPr>
          <w:rFonts w:hint="eastAsia"/>
          <w:b/>
          <w:bCs/>
          <w:sz w:val="60"/>
          <w:szCs w:val="60"/>
          <w:highlight w:val="none"/>
          <w:lang w:eastAsia="zh-CN"/>
        </w:rPr>
        <w:t>资格预审文件</w:t>
      </w:r>
      <w:bookmarkEnd w:id="0"/>
    </w:p>
    <w:p>
      <w:pPr>
        <w:spacing w:line="360" w:lineRule="auto"/>
        <w:jc w:val="center"/>
        <w:rPr>
          <w:rFonts w:ascii="宋体" w:hAnsi="宋体"/>
          <w:b/>
          <w:bCs/>
          <w:sz w:val="60"/>
          <w:szCs w:val="60"/>
          <w:highlight w:val="none"/>
        </w:rPr>
      </w:pPr>
    </w:p>
    <w:p>
      <w:pPr>
        <w:tabs>
          <w:tab w:val="left" w:pos="5609"/>
        </w:tabs>
        <w:spacing w:line="360" w:lineRule="auto"/>
        <w:ind w:left="2832" w:leftChars="444" w:hanging="1900" w:hangingChars="528"/>
        <w:jc w:val="left"/>
        <w:rPr>
          <w:rFonts w:hint="eastAsia" w:eastAsia="宋体"/>
          <w:bCs/>
          <w:sz w:val="36"/>
          <w:szCs w:val="36"/>
          <w:highlight w:val="none"/>
          <w:lang w:eastAsia="zh-CN"/>
        </w:rPr>
      </w:pPr>
      <w:r>
        <w:rPr>
          <w:bCs/>
          <w:sz w:val="36"/>
          <w:szCs w:val="36"/>
          <w:highlight w:val="none"/>
        </w:rPr>
        <w:t>项目名称：</w:t>
      </w:r>
      <w:r>
        <w:rPr>
          <w:rFonts w:hint="eastAsia"/>
          <w:bCs/>
          <w:sz w:val="36"/>
          <w:szCs w:val="36"/>
          <w:highlight w:val="none"/>
          <w:lang w:eastAsia="zh-CN"/>
        </w:rPr>
        <w:t>常州市金坛区公办中小学幼儿园食堂食材定点供应采购</w:t>
      </w:r>
    </w:p>
    <w:p>
      <w:pPr>
        <w:tabs>
          <w:tab w:val="left" w:pos="3240"/>
          <w:tab w:val="left" w:pos="3420"/>
        </w:tabs>
        <w:spacing w:line="360" w:lineRule="auto"/>
        <w:ind w:left="2832" w:leftChars="444" w:hanging="1900" w:hangingChars="528"/>
        <w:jc w:val="left"/>
        <w:rPr>
          <w:rFonts w:hint="eastAsia"/>
          <w:bCs/>
          <w:sz w:val="36"/>
          <w:szCs w:val="36"/>
          <w:highlight w:val="none"/>
        </w:rPr>
      </w:pPr>
      <w:r>
        <w:rPr>
          <w:bCs/>
          <w:sz w:val="36"/>
          <w:szCs w:val="36"/>
          <w:highlight w:val="none"/>
        </w:rPr>
        <w:t>项目编号：</w:t>
      </w:r>
      <w:r>
        <w:rPr>
          <w:rFonts w:hint="eastAsia"/>
          <w:bCs/>
          <w:sz w:val="36"/>
          <w:szCs w:val="36"/>
          <w:highlight w:val="none"/>
        </w:rPr>
        <w:t>JSKT-2023-</w:t>
      </w:r>
      <w:r>
        <w:rPr>
          <w:rFonts w:hint="eastAsia"/>
          <w:bCs/>
          <w:sz w:val="36"/>
          <w:szCs w:val="36"/>
          <w:highlight w:val="none"/>
          <w:lang w:val="en-US" w:eastAsia="zh-CN"/>
        </w:rPr>
        <w:t>014</w:t>
      </w:r>
      <w:r>
        <w:rPr>
          <w:rFonts w:hint="eastAsia"/>
          <w:bCs/>
          <w:sz w:val="36"/>
          <w:szCs w:val="36"/>
          <w:highlight w:val="none"/>
        </w:rPr>
        <w:t xml:space="preserve"> </w:t>
      </w:r>
    </w:p>
    <w:p>
      <w:pPr>
        <w:tabs>
          <w:tab w:val="left" w:pos="3240"/>
          <w:tab w:val="left" w:pos="3420"/>
        </w:tabs>
        <w:spacing w:line="360" w:lineRule="auto"/>
        <w:ind w:left="2832" w:leftChars="444" w:hanging="1900" w:hangingChars="528"/>
        <w:jc w:val="left"/>
        <w:rPr>
          <w:rFonts w:hint="eastAsia"/>
          <w:bCs/>
          <w:sz w:val="36"/>
          <w:szCs w:val="36"/>
          <w:highlight w:val="none"/>
        </w:rPr>
      </w:pPr>
      <w:r>
        <w:rPr>
          <w:bCs/>
          <w:sz w:val="36"/>
          <w:szCs w:val="36"/>
          <w:highlight w:val="none"/>
        </w:rPr>
        <w:t>采 购 人：</w:t>
      </w:r>
      <w:r>
        <w:rPr>
          <w:rFonts w:hint="eastAsia"/>
          <w:bCs/>
          <w:sz w:val="36"/>
          <w:szCs w:val="36"/>
          <w:highlight w:val="none"/>
        </w:rPr>
        <w:t>常州市金坛区教育局</w:t>
      </w:r>
    </w:p>
    <w:p>
      <w:pPr>
        <w:tabs>
          <w:tab w:val="left" w:pos="3240"/>
          <w:tab w:val="left" w:pos="3420"/>
        </w:tabs>
        <w:spacing w:line="360" w:lineRule="auto"/>
        <w:ind w:left="2832" w:leftChars="444" w:hanging="1900" w:hangingChars="528"/>
        <w:jc w:val="left"/>
        <w:rPr>
          <w:bCs/>
          <w:sz w:val="36"/>
          <w:szCs w:val="36"/>
          <w:highlight w:val="none"/>
        </w:rPr>
      </w:pPr>
      <w:r>
        <w:rPr>
          <w:rFonts w:hint="eastAsia"/>
          <w:bCs/>
          <w:sz w:val="36"/>
          <w:szCs w:val="36"/>
          <w:highlight w:val="none"/>
        </w:rPr>
        <w:t>采购</w:t>
      </w:r>
      <w:r>
        <w:rPr>
          <w:bCs/>
          <w:sz w:val="36"/>
          <w:szCs w:val="36"/>
          <w:highlight w:val="none"/>
        </w:rPr>
        <w:t>代理机构：</w:t>
      </w:r>
      <w:r>
        <w:rPr>
          <w:rFonts w:hint="eastAsia"/>
          <w:bCs/>
          <w:sz w:val="36"/>
          <w:szCs w:val="36"/>
          <w:highlight w:val="none"/>
        </w:rPr>
        <w:t>江苏开天工程咨询有限公司</w:t>
      </w:r>
    </w:p>
    <w:p>
      <w:pPr>
        <w:keepNext w:val="0"/>
        <w:keepLines w:val="0"/>
        <w:pageBreakBefore w:val="0"/>
        <w:kinsoku/>
        <w:wordWrap/>
        <w:overflowPunct/>
        <w:topLinePunct w:val="0"/>
        <w:autoSpaceDE/>
        <w:autoSpaceDN/>
        <w:bidi w:val="0"/>
        <w:adjustRightInd/>
        <w:snapToGrid/>
        <w:spacing w:line="520" w:lineRule="exact"/>
        <w:jc w:val="center"/>
        <w:textAlignment w:val="auto"/>
        <w:rPr>
          <w:rFonts w:ascii="宋体" w:hAnsi="宋体" w:eastAsia="宋体" w:cs="Times New Roman"/>
          <w:b/>
          <w:bCs/>
          <w:kern w:val="2"/>
          <w:sz w:val="30"/>
          <w:szCs w:val="30"/>
          <w:highlight w:val="none"/>
          <w:lang w:val="en-US" w:eastAsia="zh-CN" w:bidi="ar-SA"/>
        </w:rPr>
        <w:sectPr>
          <w:pgSz w:w="11906" w:h="16838"/>
          <w:pgMar w:top="850" w:right="1800" w:bottom="850" w:left="1800" w:header="851" w:footer="992" w:gutter="0"/>
          <w:cols w:space="425" w:num="1"/>
          <w:docGrid w:type="lines" w:linePitch="312" w:charSpace="0"/>
        </w:sectPr>
      </w:pPr>
    </w:p>
    <w:sdt>
      <w:sdtPr>
        <w:rPr>
          <w:rFonts w:ascii="宋体" w:hAnsi="宋体" w:eastAsia="宋体" w:cs="Times New Roman"/>
          <w:b/>
          <w:bCs/>
          <w:kern w:val="2"/>
          <w:sz w:val="30"/>
          <w:szCs w:val="30"/>
          <w:highlight w:val="none"/>
          <w:lang w:val="en-US" w:eastAsia="zh-CN" w:bidi="ar-SA"/>
        </w:rPr>
        <w:id w:val="147453132"/>
        <w15:color w:val="DBDBDB"/>
        <w:docPartObj>
          <w:docPartGallery w:val="Table of Contents"/>
          <w:docPartUnique/>
        </w:docPartObj>
      </w:sdtPr>
      <w:sdtEndPr>
        <w:rPr>
          <w:rFonts w:ascii="Times New Roman" w:hAnsi="Times New Roman" w:eastAsia="宋体" w:cs="Times New Roman"/>
          <w:b/>
          <w:bCs/>
          <w:kern w:val="2"/>
          <w:sz w:val="24"/>
          <w:szCs w:val="20"/>
          <w:highlight w:val="none"/>
          <w:lang w:val="en-US" w:eastAsia="zh-CN" w:bidi="ar-SA"/>
        </w:rPr>
      </w:sdtEndPr>
      <w:sdtContent>
        <w:p>
          <w:pPr>
            <w:keepNext w:val="0"/>
            <w:keepLines w:val="0"/>
            <w:pageBreakBefore w:val="0"/>
            <w:kinsoku/>
            <w:wordWrap/>
            <w:overflowPunct/>
            <w:topLinePunct w:val="0"/>
            <w:autoSpaceDE/>
            <w:autoSpaceDN/>
            <w:bidi w:val="0"/>
            <w:adjustRightInd/>
            <w:snapToGrid/>
            <w:spacing w:line="520" w:lineRule="exact"/>
            <w:jc w:val="center"/>
            <w:textAlignment w:val="auto"/>
            <w:rPr>
              <w:b/>
              <w:bCs/>
              <w:sz w:val="30"/>
              <w:szCs w:val="30"/>
              <w:highlight w:val="none"/>
            </w:rPr>
          </w:pPr>
          <w:r>
            <w:rPr>
              <w:rFonts w:ascii="宋体" w:hAnsi="宋体" w:eastAsia="宋体"/>
              <w:b/>
              <w:bCs/>
              <w:sz w:val="30"/>
              <w:szCs w:val="30"/>
              <w:highlight w:val="none"/>
            </w:rPr>
            <w:t>目录</w:t>
          </w:r>
        </w:p>
        <w:p>
          <w:pPr>
            <w:pStyle w:val="20"/>
            <w:keepNext w:val="0"/>
            <w:keepLines w:val="0"/>
            <w:pageBreakBefore w:val="0"/>
            <w:tabs>
              <w:tab w:val="right" w:leader="dot" w:pos="8306"/>
            </w:tabs>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TOC \o "1-1" \h \u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_Toc24672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lang w:eastAsia="zh-CN"/>
            </w:rPr>
            <w:t>第一章</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采购邀请</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PAGEREF _Toc24672 \h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rPr>
            <w:fldChar w:fldCharType="end"/>
          </w:r>
          <w:r>
            <w:rPr>
              <w:rFonts w:hint="eastAsia" w:asciiTheme="minorEastAsia" w:hAnsiTheme="minorEastAsia" w:eastAsiaTheme="minorEastAsia" w:cstheme="minorEastAsia"/>
              <w:sz w:val="24"/>
              <w:szCs w:val="24"/>
              <w:highlight w:val="none"/>
            </w:rPr>
            <w:fldChar w:fldCharType="end"/>
          </w:r>
        </w:p>
        <w:p>
          <w:pPr>
            <w:pStyle w:val="20"/>
            <w:keepNext w:val="0"/>
            <w:keepLines w:val="0"/>
            <w:pageBreakBefore w:val="0"/>
            <w:tabs>
              <w:tab w:val="right" w:leader="dot" w:pos="8306"/>
            </w:tabs>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_Toc27173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sz w:val="24"/>
              <w:szCs w:val="24"/>
              <w:highlight w:val="none"/>
              <w:lang w:val="en-US" w:eastAsia="zh-CN"/>
            </w:rPr>
            <w:t>第二章 资格审查办法</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PAGEREF _Toc27173 \h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5</w:t>
          </w:r>
          <w:r>
            <w:rPr>
              <w:rFonts w:hint="eastAsia" w:asciiTheme="minorEastAsia" w:hAnsiTheme="minorEastAsia" w:eastAsiaTheme="minorEastAsia" w:cstheme="minorEastAsia"/>
              <w:sz w:val="24"/>
              <w:szCs w:val="24"/>
              <w:highlight w:val="none"/>
            </w:rPr>
            <w:fldChar w:fldCharType="end"/>
          </w:r>
          <w:r>
            <w:rPr>
              <w:rFonts w:hint="eastAsia" w:asciiTheme="minorEastAsia" w:hAnsiTheme="minorEastAsia" w:eastAsiaTheme="minorEastAsia" w:cstheme="minorEastAsia"/>
              <w:sz w:val="24"/>
              <w:szCs w:val="24"/>
              <w:highlight w:val="none"/>
            </w:rPr>
            <w:fldChar w:fldCharType="end"/>
          </w:r>
        </w:p>
        <w:p>
          <w:pPr>
            <w:pStyle w:val="20"/>
            <w:keepNext w:val="0"/>
            <w:keepLines w:val="0"/>
            <w:pageBreakBefore w:val="0"/>
            <w:tabs>
              <w:tab w:val="right" w:leader="dot" w:pos="8306"/>
            </w:tabs>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_Toc9399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sz w:val="24"/>
              <w:szCs w:val="24"/>
              <w:highlight w:val="none"/>
              <w:lang w:val="en-US" w:eastAsia="zh-CN"/>
            </w:rPr>
            <w:t>第三章 评标办法</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PAGEREF _Toc9399 \h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10</w:t>
          </w:r>
          <w:r>
            <w:rPr>
              <w:rFonts w:hint="eastAsia" w:asciiTheme="minorEastAsia" w:hAnsiTheme="minorEastAsia" w:eastAsiaTheme="minorEastAsia" w:cstheme="minorEastAsia"/>
              <w:sz w:val="24"/>
              <w:szCs w:val="24"/>
              <w:highlight w:val="none"/>
            </w:rPr>
            <w:fldChar w:fldCharType="end"/>
          </w:r>
          <w:r>
            <w:rPr>
              <w:rFonts w:hint="eastAsia" w:asciiTheme="minorEastAsia" w:hAnsiTheme="minorEastAsia" w:eastAsiaTheme="minorEastAsia" w:cstheme="minorEastAsia"/>
              <w:sz w:val="24"/>
              <w:szCs w:val="24"/>
              <w:highlight w:val="none"/>
            </w:rPr>
            <w:fldChar w:fldCharType="end"/>
          </w:r>
        </w:p>
        <w:p>
          <w:pPr>
            <w:pStyle w:val="20"/>
            <w:keepNext w:val="0"/>
            <w:keepLines w:val="0"/>
            <w:pageBreakBefore w:val="0"/>
            <w:tabs>
              <w:tab w:val="right" w:leader="dot" w:pos="8306"/>
            </w:tabs>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_Toc22236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sz w:val="24"/>
              <w:szCs w:val="24"/>
              <w:highlight w:val="none"/>
              <w:lang w:val="en-US" w:eastAsia="zh-CN"/>
            </w:rPr>
            <w:t>第四章 采购需求</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PAGEREF _Toc22236 \h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13</w:t>
          </w:r>
          <w:r>
            <w:rPr>
              <w:rFonts w:hint="eastAsia" w:asciiTheme="minorEastAsia" w:hAnsiTheme="minorEastAsia" w:eastAsiaTheme="minorEastAsia" w:cstheme="minorEastAsia"/>
              <w:sz w:val="24"/>
              <w:szCs w:val="24"/>
              <w:highlight w:val="none"/>
            </w:rPr>
            <w:fldChar w:fldCharType="end"/>
          </w:r>
          <w:r>
            <w:rPr>
              <w:rFonts w:hint="eastAsia" w:asciiTheme="minorEastAsia" w:hAnsiTheme="minorEastAsia" w:eastAsiaTheme="minorEastAsia" w:cstheme="minorEastAsia"/>
              <w:sz w:val="24"/>
              <w:szCs w:val="24"/>
              <w:highlight w:val="none"/>
            </w:rPr>
            <w:fldChar w:fldCharType="end"/>
          </w:r>
        </w:p>
        <w:p>
          <w:pPr>
            <w:pStyle w:val="20"/>
            <w:keepNext w:val="0"/>
            <w:keepLines w:val="0"/>
            <w:pageBreakBefore w:val="0"/>
            <w:tabs>
              <w:tab w:val="right" w:leader="dot" w:pos="8306"/>
            </w:tabs>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_Toc16045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sz w:val="24"/>
              <w:szCs w:val="24"/>
              <w:highlight w:val="none"/>
              <w:lang w:val="en-US" w:eastAsia="zh-CN"/>
            </w:rPr>
            <w:t>第五章 资格审查文件格式</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PAGEREF _Toc16045 \h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21</w:t>
          </w:r>
          <w:r>
            <w:rPr>
              <w:rFonts w:hint="eastAsia" w:asciiTheme="minorEastAsia" w:hAnsiTheme="minorEastAsia" w:eastAsiaTheme="minorEastAsia" w:cstheme="minorEastAsia"/>
              <w:sz w:val="24"/>
              <w:szCs w:val="24"/>
              <w:highlight w:val="none"/>
            </w:rPr>
            <w:fldChar w:fldCharType="end"/>
          </w:r>
          <w:r>
            <w:rPr>
              <w:rFonts w:hint="eastAsia" w:asciiTheme="minorEastAsia" w:hAnsiTheme="minorEastAsia" w:eastAsiaTheme="minorEastAsia" w:cstheme="minorEastAsia"/>
              <w:sz w:val="24"/>
              <w:szCs w:val="24"/>
              <w:highlight w:val="none"/>
            </w:rPr>
            <w:fldChar w:fldCharType="end"/>
          </w:r>
        </w:p>
        <w:p>
          <w:pPr>
            <w:pStyle w:val="2"/>
            <w:keepNext w:val="0"/>
            <w:keepLines w:val="0"/>
            <w:pageBreakBefore w:val="0"/>
            <w:kinsoku/>
            <w:wordWrap/>
            <w:overflowPunct/>
            <w:topLinePunct w:val="0"/>
            <w:autoSpaceDE/>
            <w:autoSpaceDN/>
            <w:bidi w:val="0"/>
            <w:adjustRightInd/>
            <w:snapToGrid/>
            <w:spacing w:line="520" w:lineRule="exact"/>
            <w:textAlignment w:val="auto"/>
            <w:rPr>
              <w:highlight w:val="none"/>
            </w:rPr>
          </w:pPr>
          <w:r>
            <w:rPr>
              <w:rFonts w:hint="eastAsia" w:asciiTheme="minorEastAsia" w:hAnsiTheme="minorEastAsia" w:eastAsiaTheme="minorEastAsia" w:cstheme="minorEastAsia"/>
              <w:sz w:val="24"/>
              <w:szCs w:val="24"/>
              <w:highlight w:val="none"/>
            </w:rPr>
            <w:fldChar w:fldCharType="end"/>
          </w:r>
        </w:p>
      </w:sdtContent>
    </w:sdt>
    <w:p>
      <w:pPr>
        <w:rPr>
          <w:rFonts w:hint="eastAsia"/>
          <w:b/>
          <w:sz w:val="36"/>
          <w:szCs w:val="36"/>
          <w:highlight w:val="none"/>
          <w:lang w:eastAsia="zh-CN"/>
        </w:rPr>
      </w:pPr>
      <w:bookmarkStart w:id="1" w:name="_Toc24672"/>
      <w:r>
        <w:rPr>
          <w:rFonts w:hint="eastAsia"/>
          <w:b/>
          <w:sz w:val="36"/>
          <w:szCs w:val="36"/>
          <w:highlight w:val="none"/>
          <w:lang w:eastAsia="zh-CN"/>
        </w:rPr>
        <w:br w:type="page"/>
      </w:r>
    </w:p>
    <w:p>
      <w:pPr>
        <w:jc w:val="center"/>
        <w:outlineLvl w:val="0"/>
        <w:rPr>
          <w:b/>
          <w:sz w:val="36"/>
          <w:szCs w:val="36"/>
          <w:highlight w:val="none"/>
        </w:rPr>
      </w:pPr>
      <w:r>
        <w:rPr>
          <w:rFonts w:hint="eastAsia"/>
          <w:b/>
          <w:sz w:val="36"/>
          <w:szCs w:val="36"/>
          <w:highlight w:val="none"/>
          <w:lang w:eastAsia="zh-CN"/>
        </w:rPr>
        <w:t>第一章</w:t>
      </w:r>
      <w:r>
        <w:rPr>
          <w:rFonts w:hint="eastAsia"/>
          <w:b/>
          <w:sz w:val="36"/>
          <w:szCs w:val="36"/>
          <w:highlight w:val="none"/>
          <w:lang w:val="en-US" w:eastAsia="zh-CN"/>
        </w:rPr>
        <w:t xml:space="preserve"> </w:t>
      </w:r>
      <w:r>
        <w:rPr>
          <w:b/>
          <w:sz w:val="36"/>
          <w:szCs w:val="36"/>
          <w:highlight w:val="none"/>
        </w:rPr>
        <w:t>采购邀请</w:t>
      </w:r>
      <w:bookmarkEnd w:id="1"/>
      <w:bookmarkStart w:id="2" w:name="_Toc35393790"/>
      <w:bookmarkStart w:id="3" w:name="_Toc35393621"/>
      <w:bookmarkStart w:id="4" w:name="_Toc28359002"/>
      <w:bookmarkStart w:id="5" w:name="_Toc28359079"/>
      <w:bookmarkStart w:id="6" w:name="_Hlk24379207"/>
    </w:p>
    <w:p>
      <w:pPr>
        <w:spacing w:line="360" w:lineRule="auto"/>
        <w:ind w:firstLine="480" w:firstLineChars="200"/>
        <w:rPr>
          <w:sz w:val="24"/>
          <w:highlight w:val="none"/>
        </w:rPr>
      </w:pPr>
    </w:p>
    <w:bookmarkEnd w:id="2"/>
    <w:bookmarkEnd w:id="3"/>
    <w:bookmarkEnd w:id="4"/>
    <w:bookmarkEnd w:id="5"/>
    <w:bookmarkEnd w:id="6"/>
    <w:p>
      <w:pPr>
        <w:pStyle w:val="4"/>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一、项目基本情况</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1.项目编号：JSKT-2023-</w:t>
      </w:r>
      <w:r>
        <w:rPr>
          <w:rFonts w:hint="eastAsia" w:ascii="宋体" w:hAnsi="宋体" w:cs="宋体"/>
          <w:sz w:val="24"/>
          <w:highlight w:val="none"/>
          <w:lang w:val="en-US" w:eastAsia="zh-CN"/>
        </w:rPr>
        <w:t>014</w:t>
      </w:r>
      <w:r>
        <w:rPr>
          <w:rFonts w:hint="eastAsia" w:ascii="宋体" w:hAnsi="宋体" w:cs="宋体"/>
          <w:sz w:val="24"/>
          <w:highlight w:val="none"/>
        </w:rPr>
        <w:t xml:space="preserve"> </w:t>
      </w:r>
    </w:p>
    <w:p>
      <w:pPr>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2.项目名称：</w:t>
      </w:r>
      <w:r>
        <w:rPr>
          <w:rFonts w:hint="eastAsia" w:ascii="宋体" w:hAnsi="宋体" w:cs="宋体"/>
          <w:sz w:val="24"/>
          <w:highlight w:val="none"/>
          <w:lang w:eastAsia="zh-CN"/>
        </w:rPr>
        <w:t>常州市金坛区公办中小学幼儿园食堂食材定点供应采购</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3.采购方式：竞争性磋商</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4.采购需求：</w:t>
      </w:r>
    </w:p>
    <w:tbl>
      <w:tblPr>
        <w:tblStyle w:val="14"/>
        <w:tblW w:w="48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717"/>
        <w:gridCol w:w="1099"/>
        <w:gridCol w:w="4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63"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包号</w:t>
            </w:r>
          </w:p>
        </w:tc>
        <w:tc>
          <w:tcPr>
            <w:tcW w:w="1033"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标的名称</w:t>
            </w:r>
          </w:p>
        </w:tc>
        <w:tc>
          <w:tcPr>
            <w:tcW w:w="661"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数量</w:t>
            </w:r>
          </w:p>
        </w:tc>
        <w:tc>
          <w:tcPr>
            <w:tcW w:w="2841" w:type="pct"/>
            <w:noWrap w:val="0"/>
            <w:vAlign w:val="center"/>
          </w:tcPr>
          <w:p>
            <w:pPr>
              <w:jc w:val="center"/>
              <w:rPr>
                <w:rFonts w:hint="eastAsia" w:ascii="宋体" w:hAnsi="宋体" w:cs="宋体"/>
                <w:sz w:val="24"/>
                <w:highlight w:val="none"/>
              </w:rPr>
            </w:pPr>
            <w:r>
              <w:rPr>
                <w:rFonts w:hint="eastAsia" w:ascii="宋体" w:hAnsi="宋体" w:cs="宋体"/>
                <w:sz w:val="24"/>
                <w:highlight w:val="none"/>
              </w:rPr>
              <w:t>简要技术需求或服务要求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6" w:hRule="atLeast"/>
          <w:jc w:val="center"/>
        </w:trPr>
        <w:tc>
          <w:tcPr>
            <w:tcW w:w="463"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01</w:t>
            </w:r>
          </w:p>
        </w:tc>
        <w:tc>
          <w:tcPr>
            <w:tcW w:w="1033" w:type="pct"/>
            <w:noWrap w:val="0"/>
            <w:vAlign w:val="center"/>
          </w:tcPr>
          <w:p>
            <w:pPr>
              <w:jc w:val="center"/>
              <w:rPr>
                <w:rFonts w:hint="eastAsia" w:ascii="宋体" w:hAnsi="宋体" w:eastAsia="宋体" w:cs="宋体"/>
                <w:bCs/>
                <w:sz w:val="24"/>
                <w:highlight w:val="none"/>
                <w:lang w:eastAsia="zh-CN"/>
              </w:rPr>
            </w:pPr>
            <w:r>
              <w:rPr>
                <w:rFonts w:hint="eastAsia" w:ascii="宋体" w:hAnsi="宋体" w:cs="宋体"/>
                <w:bCs/>
                <w:sz w:val="24"/>
                <w:highlight w:val="none"/>
                <w:lang w:eastAsia="zh-CN"/>
              </w:rPr>
              <w:t>常州市金坛区公办中小学幼儿园食堂食材定点供应采购</w:t>
            </w:r>
          </w:p>
        </w:tc>
        <w:tc>
          <w:tcPr>
            <w:tcW w:w="661"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1</w:t>
            </w:r>
          </w:p>
        </w:tc>
        <w:tc>
          <w:tcPr>
            <w:tcW w:w="2841" w:type="pct"/>
            <w:noWrap w:val="0"/>
            <w:vAlign w:val="center"/>
          </w:tcPr>
          <w:p>
            <w:pPr>
              <w:jc w:val="left"/>
              <w:rPr>
                <w:rFonts w:hint="eastAsia" w:ascii="宋体" w:hAnsi="宋体" w:cs="宋体"/>
                <w:kern w:val="0"/>
                <w:sz w:val="24"/>
                <w:highlight w:val="none"/>
              </w:rPr>
            </w:pPr>
            <w:r>
              <w:rPr>
                <w:rFonts w:hint="eastAsia" w:ascii="宋体" w:hAnsi="宋体" w:cs="宋体"/>
                <w:kern w:val="0"/>
                <w:sz w:val="24"/>
                <w:highlight w:val="none"/>
              </w:rPr>
              <w:t>1、根据省纪委监委、省教育厅、常州市金坛区教育局关于常州市金坛区学校阳光食堂综合智能服务平台建设的工作要求，为确保我区中小学</w:t>
            </w:r>
            <w:r>
              <w:rPr>
                <w:rFonts w:hint="eastAsia" w:ascii="宋体" w:hAnsi="宋体" w:cs="宋体"/>
                <w:kern w:val="0"/>
                <w:sz w:val="24"/>
                <w:highlight w:val="none"/>
                <w:lang w:eastAsia="zh-CN"/>
              </w:rPr>
              <w:t>幼儿园食</w:t>
            </w:r>
            <w:r>
              <w:rPr>
                <w:rFonts w:hint="eastAsia" w:ascii="宋体" w:hAnsi="宋体" w:cs="宋体"/>
                <w:kern w:val="0"/>
                <w:sz w:val="24"/>
                <w:highlight w:val="none"/>
              </w:rPr>
              <w:t>堂食品安全，规范食品及原料采购行为，维护师生的合法权益。现开展</w:t>
            </w:r>
            <w:r>
              <w:rPr>
                <w:rFonts w:hint="eastAsia" w:ascii="宋体" w:hAnsi="宋体" w:cs="宋体"/>
                <w:kern w:val="0"/>
                <w:sz w:val="24"/>
                <w:highlight w:val="none"/>
                <w:lang w:eastAsia="zh-CN"/>
              </w:rPr>
              <w:t>常州市金坛区公办中小学幼儿园食堂</w:t>
            </w:r>
            <w:r>
              <w:rPr>
                <w:rFonts w:hint="eastAsia" w:ascii="宋体" w:hAnsi="宋体" w:cs="宋体"/>
                <w:kern w:val="0"/>
                <w:sz w:val="24"/>
                <w:highlight w:val="none"/>
              </w:rPr>
              <w:t>日常所用伙食物资的供货单位招标。</w:t>
            </w:r>
          </w:p>
          <w:p>
            <w:pPr>
              <w:jc w:val="left"/>
              <w:rPr>
                <w:rFonts w:hint="eastAsia" w:ascii="宋体" w:hAnsi="宋体" w:cs="宋体"/>
                <w:kern w:val="0"/>
                <w:sz w:val="24"/>
                <w:highlight w:val="none"/>
              </w:rPr>
            </w:pPr>
            <w:r>
              <w:rPr>
                <w:rFonts w:hint="eastAsia" w:ascii="宋体" w:hAnsi="宋体" w:cs="宋体"/>
                <w:kern w:val="0"/>
                <w:sz w:val="24"/>
                <w:highlight w:val="none"/>
              </w:rPr>
              <w:t>2、配送范围为金坛区</w:t>
            </w:r>
            <w:r>
              <w:rPr>
                <w:rFonts w:hint="eastAsia" w:ascii="宋体" w:hAnsi="宋体" w:cs="宋体"/>
                <w:kern w:val="0"/>
                <w:sz w:val="24"/>
                <w:highlight w:val="none"/>
                <w:lang w:val="en-US" w:eastAsia="zh-CN"/>
              </w:rPr>
              <w:t>43</w:t>
            </w:r>
            <w:r>
              <w:rPr>
                <w:rFonts w:hint="eastAsia" w:ascii="宋体" w:hAnsi="宋体" w:cs="宋体"/>
                <w:kern w:val="0"/>
                <w:sz w:val="24"/>
                <w:highlight w:val="none"/>
              </w:rPr>
              <w:t>所学校</w:t>
            </w:r>
            <w:r>
              <w:rPr>
                <w:rFonts w:hint="eastAsia" w:ascii="宋体" w:hAnsi="宋体" w:cs="宋体"/>
                <w:kern w:val="0"/>
                <w:sz w:val="24"/>
                <w:highlight w:val="none"/>
              </w:rPr>
              <w:t>。</w:t>
            </w:r>
          </w:p>
          <w:p>
            <w:pPr>
              <w:jc w:val="left"/>
              <w:rPr>
                <w:rFonts w:hint="eastAsia" w:ascii="宋体" w:hAnsi="宋体" w:cs="宋体"/>
                <w:kern w:val="0"/>
                <w:sz w:val="24"/>
                <w:highlight w:val="none"/>
              </w:rPr>
            </w:pPr>
            <w:r>
              <w:rPr>
                <w:rFonts w:hint="eastAsia" w:ascii="宋体" w:hAnsi="宋体" w:cs="宋体"/>
                <w:kern w:val="0"/>
                <w:sz w:val="24"/>
                <w:highlight w:val="none"/>
              </w:rPr>
              <w:t>3、本次采购符合评审要求的供应商数量为N：N≥17，按N－3家确定入围供应商；当N＜17,本项目废标。</w:t>
            </w:r>
          </w:p>
        </w:tc>
      </w:tr>
    </w:tbl>
    <w:p>
      <w:pPr>
        <w:spacing w:line="360" w:lineRule="auto"/>
        <w:ind w:firstLine="480" w:firstLineChars="200"/>
        <w:rPr>
          <w:rFonts w:hint="eastAsia" w:ascii="宋体" w:hAnsi="宋体" w:cs="宋体"/>
          <w:sz w:val="24"/>
          <w:highlight w:val="none"/>
          <w:u w:val="single"/>
        </w:rPr>
      </w:pPr>
      <w:r>
        <w:rPr>
          <w:rFonts w:hint="eastAsia" w:ascii="宋体" w:hAnsi="宋体" w:cs="宋体"/>
          <w:sz w:val="24"/>
          <w:highlight w:val="none"/>
          <w:lang w:val="en-US" w:eastAsia="zh-CN"/>
        </w:rPr>
        <w:t>5</w:t>
      </w:r>
      <w:r>
        <w:rPr>
          <w:rFonts w:hint="eastAsia" w:ascii="宋体" w:hAnsi="宋体" w:cs="宋体"/>
          <w:sz w:val="24"/>
          <w:highlight w:val="none"/>
        </w:rPr>
        <w:t>.合同履行期限：</w:t>
      </w:r>
      <w:r>
        <w:rPr>
          <w:rFonts w:hint="eastAsia" w:ascii="宋体" w:hAnsi="宋体" w:cs="宋体"/>
          <w:sz w:val="24"/>
          <w:highlight w:val="none"/>
          <w:lang w:eastAsia="zh-CN"/>
        </w:rPr>
        <w:t>合同签订之日起</w:t>
      </w:r>
      <w:r>
        <w:rPr>
          <w:rFonts w:hint="eastAsia" w:ascii="宋体" w:hAnsi="宋体" w:cs="宋体"/>
          <w:sz w:val="24"/>
          <w:highlight w:val="none"/>
        </w:rPr>
        <w:t>至2024年</w:t>
      </w:r>
      <w:r>
        <w:rPr>
          <w:rFonts w:hint="eastAsia" w:ascii="宋体" w:hAnsi="宋体" w:cs="宋体"/>
          <w:sz w:val="24"/>
          <w:highlight w:val="none"/>
          <w:lang w:val="en-US" w:eastAsia="zh-CN"/>
        </w:rPr>
        <w:t>7</w:t>
      </w:r>
      <w:r>
        <w:rPr>
          <w:rFonts w:hint="eastAsia" w:ascii="宋体" w:hAnsi="宋体" w:cs="宋体"/>
          <w:sz w:val="24"/>
          <w:highlight w:val="none"/>
        </w:rPr>
        <w:t>月</w:t>
      </w:r>
      <w:r>
        <w:rPr>
          <w:rFonts w:hint="eastAsia" w:ascii="宋体" w:hAnsi="宋体" w:cs="宋体"/>
          <w:sz w:val="24"/>
          <w:highlight w:val="none"/>
          <w:lang w:val="en-US" w:eastAsia="zh-CN"/>
        </w:rPr>
        <w:t>31</w:t>
      </w:r>
      <w:r>
        <w:rPr>
          <w:rFonts w:hint="eastAsia" w:ascii="宋体" w:hAnsi="宋体" w:cs="宋体"/>
          <w:sz w:val="24"/>
          <w:highlight w:val="none"/>
        </w:rPr>
        <w:t xml:space="preserve">日止。供货期内因政策调整等不可抗拒因素需终止供货的，采购人提前通知中标供应商。 </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6</w:t>
      </w:r>
      <w:r>
        <w:rPr>
          <w:rFonts w:hint="eastAsia" w:ascii="宋体" w:hAnsi="宋体" w:cs="宋体"/>
          <w:sz w:val="24"/>
          <w:highlight w:val="none"/>
        </w:rPr>
        <w:t>.本项目是否接受联合体：</w:t>
      </w:r>
      <w:r>
        <w:rPr>
          <w:rFonts w:hint="eastAsia" w:ascii="宋体" w:hAnsi="宋体" w:cs="宋体"/>
          <w:sz w:val="24"/>
          <w:highlight w:val="none"/>
        </w:rPr>
        <w:sym w:font="Wingdings 2" w:char="00A3"/>
      </w:r>
      <w:r>
        <w:rPr>
          <w:rFonts w:hint="eastAsia" w:ascii="宋体" w:hAnsi="宋体" w:cs="宋体"/>
          <w:sz w:val="24"/>
          <w:highlight w:val="none"/>
        </w:rPr>
        <w:t>是  ■否。</w:t>
      </w:r>
    </w:p>
    <w:p>
      <w:pPr>
        <w:spacing w:line="360" w:lineRule="auto"/>
        <w:ind w:firstLine="480" w:firstLineChars="200"/>
        <w:rPr>
          <w:rFonts w:hint="eastAsia" w:ascii="宋体" w:hAnsi="宋体" w:cs="宋体"/>
          <w:sz w:val="24"/>
          <w:highlight w:val="none"/>
        </w:rPr>
      </w:pPr>
      <w:bookmarkStart w:id="7" w:name="_Toc35393791"/>
      <w:bookmarkStart w:id="8" w:name="_Toc28359080"/>
      <w:bookmarkStart w:id="9" w:name="_Toc28359003"/>
      <w:bookmarkStart w:id="10" w:name="_Toc35393622"/>
      <w:r>
        <w:rPr>
          <w:rFonts w:hint="eastAsia" w:ascii="宋体" w:hAnsi="宋体" w:cs="宋体"/>
          <w:sz w:val="24"/>
          <w:highlight w:val="none"/>
          <w:lang w:val="en-US" w:eastAsia="zh-CN"/>
        </w:rPr>
        <w:t>7</w:t>
      </w:r>
      <w:r>
        <w:rPr>
          <w:rFonts w:hint="eastAsia" w:ascii="宋体" w:hAnsi="宋体" w:cs="宋体"/>
          <w:sz w:val="24"/>
          <w:highlight w:val="none"/>
        </w:rPr>
        <w:t>.本项目是否接受进口产品响应：</w:t>
      </w:r>
      <w:r>
        <w:rPr>
          <w:rFonts w:hint="eastAsia" w:ascii="宋体" w:hAnsi="宋体" w:cs="宋体"/>
          <w:sz w:val="24"/>
          <w:highlight w:val="none"/>
        </w:rPr>
        <w:sym w:font="Wingdings 2" w:char="00A3"/>
      </w:r>
      <w:r>
        <w:rPr>
          <w:rFonts w:hint="eastAsia" w:ascii="宋体" w:hAnsi="宋体" w:cs="宋体"/>
          <w:sz w:val="24"/>
          <w:highlight w:val="none"/>
        </w:rPr>
        <w:t>是  ■否。</w:t>
      </w:r>
    </w:p>
    <w:p>
      <w:pPr>
        <w:pStyle w:val="4"/>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w:t>
      </w:r>
      <w:r>
        <w:rPr>
          <w:rFonts w:hint="eastAsia" w:ascii="宋体" w:hAnsi="宋体" w:eastAsia="宋体" w:cs="宋体"/>
          <w:sz w:val="24"/>
          <w:szCs w:val="24"/>
          <w:highlight w:val="none"/>
          <w:lang w:eastAsia="zh-CN"/>
        </w:rPr>
        <w:t>申请人</w:t>
      </w:r>
      <w:r>
        <w:rPr>
          <w:rFonts w:hint="eastAsia" w:ascii="宋体" w:hAnsi="宋体" w:eastAsia="宋体" w:cs="宋体"/>
          <w:sz w:val="24"/>
          <w:szCs w:val="24"/>
          <w:highlight w:val="none"/>
        </w:rPr>
        <w:t>的资格要求（须同时满足）</w:t>
      </w:r>
      <w:bookmarkEnd w:id="7"/>
      <w:bookmarkEnd w:id="8"/>
      <w:bookmarkEnd w:id="9"/>
      <w:bookmarkEnd w:id="10"/>
    </w:p>
    <w:p>
      <w:pPr>
        <w:keepNext w:val="0"/>
        <w:keepLines w:val="0"/>
        <w:pageBreakBefore w:val="0"/>
        <w:widowControl w:val="0"/>
        <w:kinsoku/>
        <w:wordWrap/>
        <w:overflowPunct/>
        <w:topLinePunct w:val="0"/>
        <w:bidi w:val="0"/>
        <w:adjustRightInd/>
        <w:snapToGrid/>
        <w:spacing w:line="520" w:lineRule="exact"/>
        <w:ind w:firstLine="506" w:firstLineChars="200"/>
        <w:textAlignment w:val="auto"/>
        <w:rPr>
          <w:rFonts w:ascii="宋体" w:hAnsi="宋体"/>
          <w:b/>
          <w:bCs/>
          <w:spacing w:val="6"/>
          <w:kern w:val="48"/>
          <w:sz w:val="24"/>
          <w:szCs w:val="24"/>
          <w:highlight w:val="none"/>
        </w:rPr>
      </w:pPr>
      <w:bookmarkStart w:id="11" w:name="_Toc28359081"/>
      <w:bookmarkStart w:id="12" w:name="_Toc28359004"/>
      <w:r>
        <w:rPr>
          <w:rFonts w:hint="eastAsia" w:ascii="宋体" w:hAnsi="宋体"/>
          <w:b/>
          <w:bCs/>
          <w:spacing w:val="6"/>
          <w:kern w:val="48"/>
          <w:sz w:val="24"/>
          <w:szCs w:val="24"/>
          <w:highlight w:val="none"/>
          <w:lang w:val="en-US" w:eastAsia="zh-CN"/>
        </w:rPr>
        <w:t>1.</w:t>
      </w:r>
      <w:r>
        <w:rPr>
          <w:rFonts w:hint="eastAsia" w:ascii="宋体" w:hAnsi="宋体"/>
          <w:b/>
          <w:bCs/>
          <w:spacing w:val="6"/>
          <w:kern w:val="48"/>
          <w:sz w:val="24"/>
          <w:szCs w:val="24"/>
          <w:highlight w:val="none"/>
        </w:rPr>
        <w:t>供应商应具备下列条件：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（1）具有独立承担民事责任的能力；</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（2）具有良好的商业信誉和健全的财务会计制度；</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（3）具有履行合同所必需的设备和专业技术能力；</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（4）有依法缴纳税收和社会保障资金的良好记录；</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（5）参加采购活动前三年内，在经营活动中没有重大违法记录；</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rPr>
      </w:pPr>
      <w:r>
        <w:rPr>
          <w:rFonts w:hint="eastAsia" w:ascii="宋体" w:hAnsi="宋体"/>
          <w:spacing w:val="6"/>
          <w:kern w:val="48"/>
          <w:sz w:val="24"/>
          <w:szCs w:val="24"/>
          <w:highlight w:val="none"/>
        </w:rPr>
        <w:t>（6）未被“信用中国”网站（WWW.creditchina.gov.cn）或“中国政府采购网”网站（www.ccgp.gov.cn）列入失信被执行人、重大税收违法案件当事人名单、政府采购严重失信行为记录名单</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7</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近三年未被市场监督管理局进行处罚；</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8</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rPr>
        <w:t>法律、行政法规规定的其他条件。</w:t>
      </w:r>
    </w:p>
    <w:p>
      <w:pPr>
        <w:keepNext w:val="0"/>
        <w:keepLines w:val="0"/>
        <w:pageBreakBefore w:val="0"/>
        <w:widowControl w:val="0"/>
        <w:kinsoku/>
        <w:wordWrap/>
        <w:overflowPunct/>
        <w:topLinePunct w:val="0"/>
        <w:bidi w:val="0"/>
        <w:adjustRightInd/>
        <w:snapToGrid/>
        <w:spacing w:line="520" w:lineRule="exact"/>
        <w:ind w:firstLine="506" w:firstLineChars="200"/>
        <w:textAlignment w:val="auto"/>
        <w:rPr>
          <w:rFonts w:hint="eastAsia" w:ascii="宋体" w:hAnsi="宋体"/>
          <w:b/>
          <w:bCs/>
          <w:spacing w:val="6"/>
          <w:kern w:val="48"/>
          <w:sz w:val="24"/>
          <w:szCs w:val="24"/>
          <w:highlight w:val="none"/>
        </w:rPr>
      </w:pPr>
      <w:r>
        <w:rPr>
          <w:rFonts w:hint="eastAsia" w:ascii="宋体" w:hAnsi="宋体"/>
          <w:b/>
          <w:bCs/>
          <w:spacing w:val="6"/>
          <w:kern w:val="48"/>
          <w:sz w:val="24"/>
          <w:szCs w:val="24"/>
          <w:highlight w:val="none"/>
          <w:lang w:val="en-US" w:eastAsia="zh-CN"/>
        </w:rPr>
        <w:t>2.</w:t>
      </w:r>
      <w:r>
        <w:rPr>
          <w:rFonts w:hint="eastAsia" w:ascii="宋体" w:hAnsi="宋体"/>
          <w:b/>
          <w:bCs/>
          <w:spacing w:val="6"/>
          <w:kern w:val="48"/>
          <w:sz w:val="24"/>
          <w:szCs w:val="24"/>
          <w:highlight w:val="none"/>
        </w:rPr>
        <w:t>针对本项目，供应商应具备的特定条件：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1</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供应商具有</w:t>
      </w:r>
      <w:r>
        <w:rPr>
          <w:rFonts w:hint="eastAsia" w:ascii="宋体" w:hAnsi="宋体"/>
          <w:spacing w:val="6"/>
          <w:kern w:val="48"/>
          <w:sz w:val="24"/>
          <w:szCs w:val="24"/>
          <w:highlight w:val="none"/>
          <w:lang w:eastAsia="zh-CN"/>
        </w:rPr>
        <w:t>有效的营业执照及食品经营许可证</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2</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w:t>
      </w:r>
      <w:r>
        <w:rPr>
          <w:rFonts w:hint="eastAsia" w:ascii="宋体" w:hAnsi="宋体"/>
          <w:spacing w:val="6"/>
          <w:kern w:val="48"/>
          <w:sz w:val="24"/>
          <w:szCs w:val="24"/>
          <w:highlight w:val="none"/>
        </w:rPr>
        <w:t>常州市区域</w:t>
      </w:r>
      <w:r>
        <w:rPr>
          <w:rFonts w:hint="eastAsia" w:ascii="宋体" w:hAnsi="宋体"/>
          <w:spacing w:val="6"/>
          <w:kern w:val="48"/>
          <w:sz w:val="24"/>
          <w:szCs w:val="24"/>
          <w:highlight w:val="none"/>
          <w:lang w:eastAsia="zh-CN"/>
        </w:rPr>
        <w:t>或距离常州市金坛区人民政府</w:t>
      </w:r>
      <w:r>
        <w:rPr>
          <w:rFonts w:hint="eastAsia" w:ascii="宋体" w:hAnsi="宋体"/>
          <w:spacing w:val="6"/>
          <w:kern w:val="48"/>
          <w:sz w:val="24"/>
          <w:szCs w:val="24"/>
          <w:highlight w:val="none"/>
          <w:lang w:val="en-US" w:eastAsia="zh-CN"/>
        </w:rPr>
        <w:t>1小时路程的</w:t>
      </w:r>
      <w:r>
        <w:rPr>
          <w:rFonts w:hint="eastAsia" w:ascii="宋体" w:hAnsi="宋体"/>
          <w:spacing w:val="6"/>
          <w:kern w:val="48"/>
          <w:sz w:val="24"/>
          <w:szCs w:val="24"/>
          <w:highlight w:val="none"/>
        </w:rPr>
        <w:t>范围</w:t>
      </w:r>
      <w:r>
        <w:rPr>
          <w:rFonts w:hint="eastAsia" w:ascii="宋体" w:hAnsi="宋体"/>
          <w:spacing w:val="6"/>
          <w:kern w:val="48"/>
          <w:sz w:val="24"/>
          <w:szCs w:val="24"/>
          <w:highlight w:val="none"/>
        </w:rPr>
        <w:t>内应具有固定加工经营场所。用于本项目的加工经营场所的面积不低于500平方米</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2</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加工经营场所内需配备车辆装卸场地、物资分发区、仓储区、肉类分割区、蔬菜分拣加工区、筐箱清洗消毒区、办公区、快检室等。其中，荤菜冷冻和加工必须在同一场所，蔬菜冷藏、清洗和分拣必须在同一场所</w:t>
      </w:r>
      <w:r>
        <w:rPr>
          <w:rFonts w:hint="eastAsia" w:ascii="宋体" w:hAnsi="宋体"/>
          <w:spacing w:val="6"/>
          <w:kern w:val="48"/>
          <w:sz w:val="24"/>
          <w:szCs w:val="24"/>
          <w:highlight w:val="none"/>
          <w:lang w:val="en-US"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3</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在加工经营场所内需配备快检室</w:t>
      </w:r>
      <w:r>
        <w:rPr>
          <w:rFonts w:hint="eastAsia" w:ascii="宋体" w:hAnsi="宋体"/>
          <w:spacing w:val="6"/>
          <w:kern w:val="48"/>
          <w:sz w:val="24"/>
          <w:szCs w:val="24"/>
          <w:highlight w:val="none"/>
          <w:lang w:val="en-US" w:eastAsia="zh-CN"/>
        </w:rPr>
        <w:t>和</w:t>
      </w:r>
      <w:r>
        <w:rPr>
          <w:rFonts w:hint="eastAsia" w:ascii="宋体" w:hAnsi="宋体"/>
          <w:spacing w:val="6"/>
          <w:kern w:val="48"/>
          <w:sz w:val="24"/>
          <w:szCs w:val="24"/>
          <w:highlight w:val="none"/>
        </w:rPr>
        <w:t>相应的专业检测设备，检测人员能开展兽药残留、农药残留等项目的快速检测。</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4</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应配备与本项目相适应的冷冻、冷藏库</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5</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运输鲜活水产时</w:t>
      </w:r>
      <w:r>
        <w:rPr>
          <w:rFonts w:hint="eastAsia" w:ascii="宋体" w:hAnsi="宋体"/>
          <w:spacing w:val="6"/>
          <w:kern w:val="48"/>
          <w:sz w:val="24"/>
          <w:szCs w:val="24"/>
          <w:highlight w:val="none"/>
          <w:lang w:val="en-US" w:eastAsia="zh-CN"/>
        </w:rPr>
        <w:t>须</w:t>
      </w:r>
      <w:r>
        <w:rPr>
          <w:rFonts w:hint="eastAsia" w:ascii="宋体" w:hAnsi="宋体"/>
          <w:spacing w:val="6"/>
          <w:kern w:val="48"/>
          <w:sz w:val="24"/>
          <w:szCs w:val="24"/>
          <w:highlight w:val="none"/>
        </w:rPr>
        <w:t>配备增氧装置。</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宋体"/>
          <w:sz w:val="24"/>
          <w:highlight w:val="none"/>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6</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应配备至少2辆带有冷藏功能的厢式货车</w:t>
      </w:r>
      <w:r>
        <w:rPr>
          <w:rFonts w:hint="eastAsia" w:ascii="宋体" w:hAnsi="宋体"/>
          <w:spacing w:val="6"/>
          <w:kern w:val="48"/>
          <w:sz w:val="24"/>
          <w:szCs w:val="24"/>
          <w:highlight w:val="none"/>
          <w:lang w:eastAsia="zh-CN"/>
        </w:rPr>
        <w:t>，其中一辆须为自有。</w:t>
      </w:r>
    </w:p>
    <w:bookmarkEnd w:id="11"/>
    <w:bookmarkEnd w:id="12"/>
    <w:p>
      <w:pPr>
        <w:pStyle w:val="4"/>
        <w:widowControl/>
        <w:spacing w:before="0" w:line="360" w:lineRule="auto"/>
        <w:jc w:val="left"/>
        <w:rPr>
          <w:rFonts w:hint="eastAsia" w:ascii="宋体" w:hAnsi="宋体" w:eastAsia="宋体" w:cs="宋体"/>
          <w:sz w:val="24"/>
          <w:szCs w:val="24"/>
          <w:highlight w:val="none"/>
        </w:rPr>
      </w:pPr>
      <w:bookmarkStart w:id="13" w:name="_Toc35393623"/>
      <w:bookmarkStart w:id="14" w:name="_Toc35393792"/>
      <w:r>
        <w:rPr>
          <w:rFonts w:hint="eastAsia" w:ascii="宋体" w:hAnsi="宋体" w:eastAsia="宋体" w:cs="宋体"/>
          <w:sz w:val="24"/>
          <w:szCs w:val="24"/>
          <w:highlight w:val="none"/>
        </w:rPr>
        <w:t>三、</w:t>
      </w:r>
      <w:r>
        <w:rPr>
          <w:rFonts w:hint="eastAsia" w:ascii="宋体" w:hAnsi="宋体" w:eastAsia="宋体" w:cs="宋体"/>
          <w:sz w:val="24"/>
          <w:szCs w:val="24"/>
          <w:highlight w:val="none"/>
          <w:lang w:eastAsia="zh-CN"/>
        </w:rPr>
        <w:t>资格预审</w:t>
      </w:r>
      <w:bookmarkEnd w:id="13"/>
      <w:bookmarkEnd w:id="14"/>
      <w:r>
        <w:rPr>
          <w:rFonts w:hint="eastAsia" w:ascii="宋体" w:hAnsi="宋体" w:eastAsia="宋体" w:cs="宋体"/>
          <w:sz w:val="24"/>
          <w:szCs w:val="24"/>
          <w:highlight w:val="none"/>
          <w:lang w:eastAsia="zh-CN"/>
        </w:rPr>
        <w:t>文件领取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1.时间：2023年</w:t>
      </w:r>
      <w:r>
        <w:rPr>
          <w:rFonts w:hint="eastAsia" w:ascii="宋体" w:hAnsi="宋体" w:cs="宋体"/>
          <w:sz w:val="24"/>
          <w:highlight w:val="none"/>
          <w:lang w:val="en-US" w:eastAsia="zh-CN"/>
        </w:rPr>
        <w:t>7</w:t>
      </w:r>
      <w:r>
        <w:rPr>
          <w:rFonts w:hint="eastAsia" w:ascii="宋体" w:hAnsi="宋体" w:cs="宋体"/>
          <w:sz w:val="24"/>
          <w:highlight w:val="none"/>
        </w:rPr>
        <w:t>月</w:t>
      </w:r>
      <w:r>
        <w:rPr>
          <w:rFonts w:hint="eastAsia" w:ascii="宋体" w:hAnsi="宋体" w:cs="宋体"/>
          <w:sz w:val="24"/>
          <w:highlight w:val="none"/>
          <w:lang w:val="en-US" w:eastAsia="zh-CN"/>
        </w:rPr>
        <w:t>17</w:t>
      </w:r>
      <w:r>
        <w:rPr>
          <w:rFonts w:hint="eastAsia" w:ascii="宋体" w:hAnsi="宋体" w:cs="宋体"/>
          <w:sz w:val="24"/>
          <w:highlight w:val="none"/>
        </w:rPr>
        <w:t>日至2023年</w:t>
      </w:r>
      <w:r>
        <w:rPr>
          <w:rFonts w:hint="eastAsia" w:ascii="宋体" w:hAnsi="宋体" w:cs="宋体"/>
          <w:sz w:val="24"/>
          <w:highlight w:val="none"/>
          <w:lang w:val="en-US" w:eastAsia="zh-CN"/>
        </w:rPr>
        <w:t>7</w:t>
      </w:r>
      <w:r>
        <w:rPr>
          <w:rFonts w:hint="eastAsia" w:ascii="宋体" w:hAnsi="宋体" w:cs="宋体"/>
          <w:sz w:val="24"/>
          <w:highlight w:val="none"/>
        </w:rPr>
        <w:t>月</w:t>
      </w:r>
      <w:r>
        <w:rPr>
          <w:rFonts w:hint="eastAsia" w:ascii="宋体" w:hAnsi="宋体" w:cs="宋体"/>
          <w:sz w:val="24"/>
          <w:highlight w:val="none"/>
          <w:lang w:val="en-US" w:eastAsia="zh-CN"/>
        </w:rPr>
        <w:t>21</w:t>
      </w:r>
      <w:r>
        <w:rPr>
          <w:rFonts w:hint="eastAsia" w:ascii="宋体" w:hAnsi="宋体" w:cs="宋体"/>
          <w:sz w:val="24"/>
          <w:highlight w:val="none"/>
        </w:rPr>
        <w:t>日，每天上午8:30至11:30，下午14:00至17:30（北京时间，法定节假日除外）；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2.地点：江苏开天工程咨询有限公司代理部（江苏省常州市金坛区翠园商业广场三楼）；</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3.方式：</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①现场领取；</w:t>
      </w:r>
      <w:r>
        <w:rPr>
          <w:rFonts w:hint="eastAsia" w:ascii="宋体" w:hAnsi="宋体" w:cs="宋体"/>
          <w:sz w:val="24"/>
          <w:highlight w:val="none"/>
          <w:lang w:eastAsia="zh-CN"/>
        </w:rPr>
        <w:t>供应商</w:t>
      </w:r>
      <w:r>
        <w:rPr>
          <w:rFonts w:hint="eastAsia" w:ascii="宋体" w:hAnsi="宋体" w:cs="宋体"/>
          <w:sz w:val="24"/>
          <w:highlight w:val="none"/>
        </w:rPr>
        <w:t>携带报名资料至采购代理机构获取；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fldChar w:fldCharType="begin"/>
      </w:r>
      <w:r>
        <w:rPr>
          <w:rFonts w:hint="eastAsia" w:ascii="宋体" w:hAnsi="宋体" w:cs="宋体"/>
          <w:sz w:val="24"/>
          <w:highlight w:val="none"/>
        </w:rPr>
        <w:instrText xml:space="preserve"> HYPERLINK "mailto:②在规定的时间内将报名材料扫描发至邮箱\“1153600743@qq.com\”并按要求交纳费用后，招标文件以邮件形式发送至指定邮箱。" </w:instrText>
      </w:r>
      <w:r>
        <w:rPr>
          <w:rFonts w:hint="eastAsia" w:ascii="宋体" w:hAnsi="宋体" w:cs="宋体"/>
          <w:sz w:val="24"/>
          <w:highlight w:val="none"/>
        </w:rPr>
        <w:fldChar w:fldCharType="separate"/>
      </w:r>
      <w:r>
        <w:rPr>
          <w:rFonts w:hint="eastAsia" w:ascii="宋体" w:hAnsi="宋体" w:cs="宋体"/>
          <w:sz w:val="24"/>
          <w:highlight w:val="none"/>
        </w:rPr>
        <w:t>②网上领取：在规定的时间内将报名材料扫描发至邮箱“1153600743@qq.com”并电话（0519-82352656）确认后，招标文件以邮件形式发送至指定邮箱。</w:t>
      </w:r>
      <w:r>
        <w:rPr>
          <w:rFonts w:hint="eastAsia" w:ascii="宋体" w:hAnsi="宋体" w:cs="宋体"/>
          <w:sz w:val="24"/>
          <w:highlight w:val="none"/>
        </w:rPr>
        <w:fldChar w:fldCharType="end"/>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4.报名资料（复印件加盖</w:t>
      </w:r>
      <w:r>
        <w:rPr>
          <w:rFonts w:hint="eastAsia" w:ascii="宋体" w:hAnsi="宋体" w:cs="宋体"/>
          <w:sz w:val="24"/>
          <w:highlight w:val="none"/>
          <w:lang w:eastAsia="zh-CN"/>
        </w:rPr>
        <w:t>供应商</w:t>
      </w:r>
      <w:r>
        <w:rPr>
          <w:rFonts w:hint="eastAsia" w:ascii="宋体" w:hAnsi="宋体" w:cs="宋体"/>
          <w:sz w:val="24"/>
          <w:highlight w:val="none"/>
        </w:rPr>
        <w:t>公章）：</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（1）报名申请表；</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（2）营业执照或事业单位法人证书；</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（3）法定代表人资格证明书及身份证复印件或法定代表人授权委托书及委托代理人身份证复印件；</w:t>
      </w:r>
    </w:p>
    <w:p>
      <w:pPr>
        <w:pStyle w:val="4"/>
        <w:widowControl/>
        <w:spacing w:before="0" w:line="360" w:lineRule="auto"/>
        <w:jc w:val="left"/>
        <w:rPr>
          <w:rFonts w:hint="eastAsia" w:ascii="宋体" w:hAnsi="宋体" w:eastAsia="宋体" w:cs="宋体"/>
          <w:sz w:val="24"/>
          <w:szCs w:val="24"/>
          <w:highlight w:val="none"/>
        </w:rPr>
      </w:pPr>
      <w:bookmarkStart w:id="15" w:name="_Toc28359005"/>
      <w:bookmarkStart w:id="16" w:name="_Toc28359082"/>
      <w:bookmarkStart w:id="17" w:name="_Toc35393624"/>
      <w:bookmarkStart w:id="18" w:name="_Toc35393793"/>
      <w:r>
        <w:rPr>
          <w:rFonts w:hint="eastAsia" w:ascii="宋体" w:hAnsi="宋体" w:eastAsia="宋体" w:cs="宋体"/>
          <w:sz w:val="24"/>
          <w:szCs w:val="24"/>
          <w:highlight w:val="none"/>
        </w:rPr>
        <w:t>四、</w:t>
      </w:r>
      <w:bookmarkEnd w:id="15"/>
      <w:bookmarkEnd w:id="16"/>
      <w:bookmarkEnd w:id="17"/>
      <w:bookmarkEnd w:id="18"/>
      <w:r>
        <w:rPr>
          <w:rFonts w:hint="eastAsia" w:ascii="宋体" w:hAnsi="宋体" w:eastAsia="宋体" w:cs="宋体"/>
          <w:sz w:val="24"/>
          <w:szCs w:val="24"/>
          <w:highlight w:val="none"/>
          <w:lang w:eastAsia="zh-CN"/>
        </w:rPr>
        <w:t>资格预审时间（超过时间未签到，作该投标供应商自动放弃资审处理）；资格预审时按要求一次性递交资审材料，资格预审时不接受补充资料）</w:t>
      </w:r>
    </w:p>
    <w:p>
      <w:pPr>
        <w:spacing w:line="360" w:lineRule="auto"/>
        <w:ind w:firstLine="480" w:firstLineChars="200"/>
        <w:rPr>
          <w:rFonts w:hint="eastAsia" w:ascii="宋体" w:hAnsi="宋体" w:cs="宋体"/>
          <w:sz w:val="24"/>
          <w:highlight w:val="none"/>
          <w:lang w:val="zh-TW" w:bidi="ar"/>
        </w:rPr>
      </w:pPr>
      <w:r>
        <w:rPr>
          <w:rFonts w:hint="eastAsia" w:ascii="宋体" w:hAnsi="宋体" w:cs="宋体"/>
          <w:sz w:val="24"/>
          <w:highlight w:val="none"/>
          <w:lang w:val="zh-TW" w:bidi="ar"/>
        </w:rPr>
        <w:t>截止时间：</w:t>
      </w:r>
      <w:r>
        <w:rPr>
          <w:rFonts w:hint="eastAsia" w:ascii="宋体" w:hAnsi="宋体" w:cs="宋体"/>
          <w:sz w:val="24"/>
          <w:highlight w:val="none"/>
          <w:lang w:bidi="ar"/>
        </w:rPr>
        <w:t>2023</w:t>
      </w:r>
      <w:r>
        <w:rPr>
          <w:rFonts w:hint="eastAsia" w:ascii="宋体" w:hAnsi="宋体" w:cs="宋体"/>
          <w:sz w:val="24"/>
          <w:highlight w:val="none"/>
          <w:lang w:val="zh-TW" w:bidi="ar"/>
        </w:rPr>
        <w:t>年</w:t>
      </w:r>
      <w:r>
        <w:rPr>
          <w:rFonts w:hint="eastAsia" w:ascii="宋体" w:hAnsi="宋体" w:cs="宋体"/>
          <w:sz w:val="24"/>
          <w:highlight w:val="none"/>
          <w:lang w:val="en-US" w:eastAsia="zh-CN" w:bidi="ar"/>
        </w:rPr>
        <w:t>7月24日9</w:t>
      </w:r>
      <w:r>
        <w:rPr>
          <w:rFonts w:hint="eastAsia" w:ascii="宋体" w:hAnsi="宋体" w:cs="宋体"/>
          <w:sz w:val="24"/>
          <w:highlight w:val="none"/>
          <w:lang w:val="zh-TW" w:bidi="ar"/>
        </w:rPr>
        <w:t>点30分（北京时间）；</w:t>
      </w:r>
    </w:p>
    <w:p>
      <w:pPr>
        <w:spacing w:line="360" w:lineRule="auto"/>
        <w:ind w:firstLine="480" w:firstLineChars="200"/>
        <w:rPr>
          <w:rFonts w:hint="eastAsia" w:ascii="宋体" w:hAnsi="宋体" w:eastAsia="宋体" w:cs="宋体"/>
          <w:sz w:val="24"/>
          <w:highlight w:val="none"/>
          <w:lang w:val="zh-TW" w:eastAsia="zh-CN" w:bidi="ar"/>
        </w:rPr>
      </w:pPr>
      <w:r>
        <w:rPr>
          <w:rFonts w:hint="eastAsia" w:ascii="宋体" w:hAnsi="宋体" w:cs="宋体"/>
          <w:sz w:val="24"/>
          <w:highlight w:val="none"/>
          <w:lang w:val="zh-TW" w:bidi="ar"/>
        </w:rPr>
        <w:t>地点：</w:t>
      </w:r>
      <w:r>
        <w:rPr>
          <w:rFonts w:hint="eastAsia" w:ascii="宋体" w:hAnsi="宋体" w:cs="宋体"/>
          <w:sz w:val="24"/>
          <w:szCs w:val="24"/>
          <w:highlight w:val="none"/>
          <w:lang w:eastAsia="zh-CN"/>
        </w:rPr>
        <w:t>江苏开天工程咨询有限公司开标室（常州市金坛区翠园商业广场三楼开标室）</w:t>
      </w:r>
      <w:r>
        <w:rPr>
          <w:rFonts w:hint="eastAsia" w:ascii="宋体" w:hAnsi="宋体" w:cs="宋体"/>
          <w:sz w:val="24"/>
          <w:highlight w:val="none"/>
          <w:lang w:val="zh-TW" w:bidi="ar"/>
        </w:rPr>
        <w:t>；</w:t>
      </w:r>
    </w:p>
    <w:p>
      <w:pPr>
        <w:pStyle w:val="4"/>
        <w:spacing w:before="0" w:line="360" w:lineRule="auto"/>
        <w:jc w:val="left"/>
        <w:rPr>
          <w:rFonts w:hint="eastAsia" w:ascii="宋体" w:hAnsi="宋体" w:eastAsia="宋体" w:cs="宋体"/>
          <w:sz w:val="24"/>
          <w:szCs w:val="24"/>
          <w:highlight w:val="none"/>
        </w:rPr>
      </w:pPr>
      <w:bookmarkStart w:id="19" w:name="_Toc28359007"/>
      <w:bookmarkStart w:id="20" w:name="_Toc35393794"/>
      <w:bookmarkStart w:id="21" w:name="_Toc28359084"/>
      <w:bookmarkStart w:id="22" w:name="_Toc35393625"/>
      <w:r>
        <w:rPr>
          <w:rFonts w:hint="eastAsia" w:ascii="宋体" w:hAnsi="宋体" w:eastAsia="宋体" w:cs="宋体"/>
          <w:sz w:val="24"/>
          <w:szCs w:val="24"/>
          <w:highlight w:val="none"/>
        </w:rPr>
        <w:t>六、公告期限</w:t>
      </w:r>
      <w:bookmarkEnd w:id="19"/>
      <w:bookmarkEnd w:id="20"/>
      <w:bookmarkEnd w:id="21"/>
      <w:bookmarkEnd w:id="22"/>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自本公告发布之日起5个工作日。</w:t>
      </w:r>
    </w:p>
    <w:p>
      <w:pPr>
        <w:pStyle w:val="4"/>
        <w:spacing w:before="0" w:line="360" w:lineRule="auto"/>
        <w:jc w:val="left"/>
        <w:rPr>
          <w:rFonts w:hint="eastAsia" w:ascii="宋体" w:hAnsi="宋体" w:eastAsia="宋体" w:cs="宋体"/>
          <w:sz w:val="24"/>
          <w:szCs w:val="24"/>
          <w:highlight w:val="none"/>
        </w:rPr>
      </w:pPr>
      <w:bookmarkStart w:id="23" w:name="_Toc35393626"/>
      <w:bookmarkStart w:id="24" w:name="_Toc35393795"/>
      <w:r>
        <w:rPr>
          <w:rFonts w:hint="eastAsia" w:ascii="宋体" w:hAnsi="宋体" w:eastAsia="宋体" w:cs="宋体"/>
          <w:sz w:val="24"/>
          <w:szCs w:val="24"/>
          <w:highlight w:val="none"/>
        </w:rPr>
        <w:t>七、其他补充事宜</w:t>
      </w:r>
      <w:bookmarkEnd w:id="23"/>
      <w:bookmarkEnd w:id="24"/>
    </w:p>
    <w:p>
      <w:pPr>
        <w:widowControl/>
        <w:spacing w:line="360" w:lineRule="auto"/>
        <w:ind w:firstLine="480" w:firstLineChars="200"/>
        <w:jc w:val="left"/>
        <w:rPr>
          <w:rFonts w:hint="eastAsia" w:ascii="宋体" w:hAnsi="宋体" w:cs="宋体"/>
          <w:sz w:val="24"/>
          <w:highlight w:val="none"/>
          <w:lang w:val="zh-TW" w:bidi="ar"/>
        </w:rPr>
      </w:pPr>
      <w:r>
        <w:rPr>
          <w:rFonts w:hint="eastAsia" w:ascii="宋体" w:hAnsi="宋体" w:cs="宋体"/>
          <w:sz w:val="24"/>
          <w:highlight w:val="none"/>
          <w:lang w:val="en-US" w:eastAsia="zh-CN" w:bidi="ar"/>
        </w:rPr>
        <w:t>1.</w:t>
      </w:r>
      <w:r>
        <w:rPr>
          <w:rFonts w:hint="eastAsia" w:ascii="宋体" w:hAnsi="宋体" w:cs="宋体"/>
          <w:sz w:val="24"/>
          <w:highlight w:val="none"/>
          <w:lang w:val="zh-TW" w:bidi="ar"/>
        </w:rPr>
        <w:t>供应商自行组织踏勘现场，由此产生的所有费用均由供应商自理。</w:t>
      </w:r>
    </w:p>
    <w:p>
      <w:pPr>
        <w:widowControl/>
        <w:spacing w:line="360" w:lineRule="auto"/>
        <w:ind w:firstLine="480" w:firstLineChars="200"/>
        <w:jc w:val="left"/>
        <w:rPr>
          <w:rFonts w:hint="eastAsia" w:ascii="宋体" w:hAnsi="宋体" w:eastAsia="宋体" w:cs="宋体"/>
          <w:sz w:val="24"/>
          <w:highlight w:val="none"/>
          <w:lang w:val="zh-TW" w:eastAsia="zh-CN" w:bidi="ar"/>
        </w:rPr>
      </w:pPr>
      <w:r>
        <w:rPr>
          <w:rFonts w:hint="eastAsia" w:ascii="宋体" w:hAnsi="宋体" w:cs="宋体"/>
          <w:sz w:val="24"/>
          <w:highlight w:val="none"/>
          <w:lang w:val="en-US" w:eastAsia="zh-CN" w:bidi="ar"/>
        </w:rPr>
        <w:t>2.</w:t>
      </w:r>
      <w:r>
        <w:rPr>
          <w:rFonts w:hint="eastAsia" w:ascii="宋体" w:hAnsi="宋体" w:cs="宋体"/>
          <w:sz w:val="24"/>
          <w:highlight w:val="none"/>
          <w:lang w:val="zh-TW" w:eastAsia="zh-CN" w:bidi="ar"/>
        </w:rPr>
        <w:t>资格审查合格的供应商将获得磋商文件，磋商文件费</w:t>
      </w:r>
      <w:r>
        <w:rPr>
          <w:rFonts w:hint="eastAsia" w:ascii="宋体" w:hAnsi="宋体" w:cs="宋体"/>
          <w:sz w:val="24"/>
          <w:highlight w:val="none"/>
          <w:lang w:val="en-US" w:eastAsia="zh-CN" w:bidi="ar"/>
        </w:rPr>
        <w:t>500元</w:t>
      </w:r>
      <w:r>
        <w:rPr>
          <w:rFonts w:hint="eastAsia" w:ascii="宋体" w:hAnsi="宋体" w:cs="宋体"/>
          <w:sz w:val="24"/>
          <w:highlight w:val="none"/>
          <w:lang w:val="zh-TW" w:eastAsia="zh-CN" w:bidi="ar"/>
        </w:rPr>
        <w:t>。</w:t>
      </w:r>
    </w:p>
    <w:p>
      <w:pPr>
        <w:pStyle w:val="4"/>
        <w:spacing w:before="0" w:line="360" w:lineRule="auto"/>
        <w:jc w:val="left"/>
        <w:rPr>
          <w:rFonts w:hint="eastAsia" w:ascii="宋体" w:hAnsi="宋体" w:eastAsia="宋体" w:cs="宋体"/>
          <w:sz w:val="24"/>
          <w:szCs w:val="24"/>
          <w:highlight w:val="none"/>
        </w:rPr>
      </w:pPr>
      <w:bookmarkStart w:id="25" w:name="_Toc35393796"/>
      <w:bookmarkStart w:id="26" w:name="_Toc28359085"/>
      <w:bookmarkStart w:id="27" w:name="_Toc35393627"/>
      <w:bookmarkStart w:id="28" w:name="_Toc28359008"/>
      <w:r>
        <w:rPr>
          <w:rFonts w:hint="eastAsia" w:ascii="宋体" w:hAnsi="宋体" w:eastAsia="宋体" w:cs="宋体"/>
          <w:sz w:val="24"/>
          <w:szCs w:val="24"/>
          <w:highlight w:val="none"/>
        </w:rPr>
        <w:t>八、对本项目提出询问，请按以下方式联系。</w:t>
      </w:r>
      <w:bookmarkEnd w:id="25"/>
      <w:bookmarkEnd w:id="26"/>
      <w:bookmarkEnd w:id="27"/>
      <w:bookmarkEnd w:id="28"/>
    </w:p>
    <w:p>
      <w:pPr>
        <w:pStyle w:val="9"/>
        <w:spacing w:line="360" w:lineRule="auto"/>
        <w:ind w:firstLine="480" w:firstLineChars="200"/>
        <w:rPr>
          <w:rFonts w:hAnsi="宋体" w:cs="宋体"/>
          <w:sz w:val="24"/>
          <w:szCs w:val="24"/>
          <w:highlight w:val="none"/>
        </w:rPr>
      </w:pPr>
      <w:r>
        <w:rPr>
          <w:rFonts w:hAnsi="宋体" w:cs="宋体"/>
          <w:sz w:val="24"/>
          <w:szCs w:val="24"/>
          <w:highlight w:val="none"/>
        </w:rPr>
        <w:t xml:space="preserve">1．采购人信息 </w:t>
      </w:r>
    </w:p>
    <w:p>
      <w:pPr>
        <w:pStyle w:val="9"/>
        <w:spacing w:line="360" w:lineRule="auto"/>
        <w:ind w:firstLine="480" w:firstLineChars="200"/>
        <w:rPr>
          <w:rFonts w:hAnsi="宋体" w:cs="宋体"/>
          <w:sz w:val="24"/>
          <w:szCs w:val="24"/>
          <w:highlight w:val="none"/>
        </w:rPr>
      </w:pPr>
      <w:r>
        <w:rPr>
          <w:rFonts w:hAnsi="宋体" w:cs="宋体"/>
          <w:sz w:val="24"/>
          <w:szCs w:val="24"/>
          <w:highlight w:val="none"/>
        </w:rPr>
        <w:t>采购人名称：常州市金坛区教育局</w:t>
      </w:r>
    </w:p>
    <w:p>
      <w:pPr>
        <w:pStyle w:val="9"/>
        <w:spacing w:line="360" w:lineRule="auto"/>
        <w:ind w:firstLine="480" w:firstLineChars="200"/>
        <w:rPr>
          <w:rFonts w:hAnsi="宋体" w:cs="宋体"/>
          <w:sz w:val="24"/>
          <w:szCs w:val="24"/>
          <w:highlight w:val="none"/>
        </w:rPr>
      </w:pPr>
      <w:r>
        <w:rPr>
          <w:rFonts w:hAnsi="宋体" w:cs="宋体"/>
          <w:sz w:val="24"/>
          <w:szCs w:val="24"/>
          <w:highlight w:val="none"/>
        </w:rPr>
        <w:t>联系人：史先生</w:t>
      </w:r>
    </w:p>
    <w:p>
      <w:pPr>
        <w:pStyle w:val="9"/>
        <w:spacing w:line="360" w:lineRule="auto"/>
        <w:ind w:firstLine="480" w:firstLineChars="200"/>
        <w:rPr>
          <w:rFonts w:hint="default" w:hAnsi="宋体" w:cs="宋体"/>
          <w:sz w:val="24"/>
          <w:szCs w:val="24"/>
          <w:highlight w:val="none"/>
        </w:rPr>
      </w:pPr>
      <w:r>
        <w:rPr>
          <w:rFonts w:hAnsi="宋体" w:cs="宋体"/>
          <w:sz w:val="24"/>
          <w:szCs w:val="24"/>
          <w:highlight w:val="none"/>
        </w:rPr>
        <w:t>联系电话：0519-82801884</w:t>
      </w:r>
    </w:p>
    <w:p>
      <w:pPr>
        <w:pStyle w:val="9"/>
        <w:spacing w:line="360" w:lineRule="auto"/>
        <w:ind w:firstLine="480" w:firstLineChars="200"/>
        <w:rPr>
          <w:rFonts w:hAnsi="宋体" w:cs="宋体"/>
          <w:sz w:val="24"/>
          <w:szCs w:val="24"/>
          <w:highlight w:val="none"/>
        </w:rPr>
      </w:pPr>
      <w:r>
        <w:rPr>
          <w:rFonts w:hAnsi="宋体" w:cs="宋体"/>
          <w:sz w:val="24"/>
          <w:szCs w:val="24"/>
          <w:highlight w:val="none"/>
        </w:rPr>
        <w:t>地址：常州市金坛区清风路1号</w:t>
      </w:r>
    </w:p>
    <w:p>
      <w:pPr>
        <w:pStyle w:val="9"/>
        <w:spacing w:line="360" w:lineRule="auto"/>
        <w:ind w:firstLine="480" w:firstLineChars="200"/>
        <w:rPr>
          <w:rFonts w:hAnsi="宋体" w:cs="宋体"/>
          <w:sz w:val="24"/>
          <w:szCs w:val="24"/>
          <w:highlight w:val="none"/>
        </w:rPr>
      </w:pPr>
      <w:r>
        <w:rPr>
          <w:rFonts w:hAnsi="宋体" w:cs="宋体"/>
          <w:sz w:val="24"/>
          <w:szCs w:val="24"/>
          <w:highlight w:val="none"/>
        </w:rPr>
        <w:t xml:space="preserve">2．采购执行机构信息 </w:t>
      </w:r>
    </w:p>
    <w:p>
      <w:pPr>
        <w:pStyle w:val="9"/>
        <w:spacing w:line="360" w:lineRule="auto"/>
        <w:ind w:firstLine="480" w:firstLineChars="200"/>
        <w:rPr>
          <w:rFonts w:hAnsi="宋体" w:cs="宋体"/>
          <w:sz w:val="24"/>
          <w:szCs w:val="24"/>
          <w:highlight w:val="none"/>
        </w:rPr>
      </w:pPr>
      <w:r>
        <w:rPr>
          <w:rFonts w:hAnsi="宋体" w:cs="宋体"/>
          <w:sz w:val="24"/>
          <w:szCs w:val="24"/>
          <w:highlight w:val="none"/>
        </w:rPr>
        <w:t xml:space="preserve">名 称：江苏开天工程咨询有限公司   </w:t>
      </w:r>
    </w:p>
    <w:p>
      <w:pPr>
        <w:pStyle w:val="9"/>
        <w:spacing w:line="360" w:lineRule="auto"/>
        <w:ind w:firstLine="480" w:firstLineChars="200"/>
        <w:rPr>
          <w:rFonts w:hAnsi="宋体" w:cs="宋体"/>
          <w:sz w:val="24"/>
          <w:szCs w:val="24"/>
          <w:highlight w:val="none"/>
        </w:rPr>
      </w:pPr>
      <w:r>
        <w:rPr>
          <w:rFonts w:hAnsi="宋体" w:cs="宋体"/>
          <w:sz w:val="24"/>
          <w:szCs w:val="24"/>
          <w:highlight w:val="none"/>
        </w:rPr>
        <w:t xml:space="preserve">地 址：常州市金坛区翠园商业广场三楼      </w:t>
      </w:r>
    </w:p>
    <w:p>
      <w:pPr>
        <w:pStyle w:val="9"/>
        <w:spacing w:line="360" w:lineRule="auto"/>
        <w:ind w:firstLine="480" w:firstLineChars="200"/>
        <w:rPr>
          <w:rFonts w:hAnsi="宋体" w:cs="宋体"/>
          <w:sz w:val="24"/>
          <w:szCs w:val="24"/>
          <w:highlight w:val="none"/>
        </w:rPr>
      </w:pPr>
      <w:r>
        <w:rPr>
          <w:rFonts w:hAnsi="宋体" w:cs="宋体"/>
          <w:sz w:val="24"/>
          <w:szCs w:val="24"/>
          <w:highlight w:val="none"/>
        </w:rPr>
        <w:t xml:space="preserve">办公邮箱：1153600743@qq.com </w:t>
      </w:r>
    </w:p>
    <w:p>
      <w:pPr>
        <w:pStyle w:val="9"/>
        <w:spacing w:line="360" w:lineRule="auto"/>
        <w:ind w:firstLine="480" w:firstLineChars="200"/>
        <w:rPr>
          <w:rFonts w:hAnsi="宋体" w:cs="宋体"/>
          <w:sz w:val="24"/>
          <w:szCs w:val="24"/>
          <w:highlight w:val="none"/>
        </w:rPr>
      </w:pPr>
      <w:r>
        <w:rPr>
          <w:rFonts w:hAnsi="宋体" w:cs="宋体"/>
          <w:sz w:val="24"/>
          <w:szCs w:val="24"/>
          <w:highlight w:val="none"/>
        </w:rPr>
        <w:t xml:space="preserve">项目联系方式： 　 </w:t>
      </w:r>
    </w:p>
    <w:p>
      <w:pPr>
        <w:pStyle w:val="9"/>
        <w:spacing w:line="360" w:lineRule="auto"/>
        <w:ind w:firstLine="480" w:firstLineChars="200"/>
        <w:rPr>
          <w:rFonts w:hint="default" w:ascii="Times New Roman" w:hAnsi="Times New Roman"/>
          <w:sz w:val="24"/>
          <w:szCs w:val="24"/>
          <w:highlight w:val="none"/>
        </w:rPr>
      </w:pPr>
      <w:r>
        <w:rPr>
          <w:rFonts w:hAnsi="宋体" w:cs="宋体"/>
          <w:sz w:val="24"/>
          <w:szCs w:val="24"/>
          <w:highlight w:val="none"/>
        </w:rPr>
        <w:t xml:space="preserve">项目经办人及电话：汤女士  0519-82352656，15862085206  </w:t>
      </w:r>
      <w:r>
        <w:rPr>
          <w:rFonts w:hint="default" w:ascii="Times New Roman" w:hAnsi="Times New Roman"/>
          <w:sz w:val="24"/>
          <w:szCs w:val="24"/>
          <w:highlight w:val="none"/>
        </w:rPr>
        <w:t xml:space="preserve">  </w:t>
      </w:r>
    </w:p>
    <w:p>
      <w:pPr>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br w:type="page"/>
      </w:r>
    </w:p>
    <w:p>
      <w:pPr>
        <w:jc w:val="center"/>
        <w:outlineLvl w:val="0"/>
        <w:rPr>
          <w:rFonts w:hint="eastAsia" w:ascii="黑体" w:hAnsi="黑体" w:eastAsia="黑体" w:cs="黑体"/>
          <w:b/>
          <w:bCs/>
          <w:sz w:val="44"/>
          <w:szCs w:val="44"/>
          <w:highlight w:val="none"/>
          <w:lang w:val="en-US" w:eastAsia="zh-CN"/>
        </w:rPr>
      </w:pPr>
      <w:bookmarkStart w:id="29" w:name="_Toc27173"/>
      <w:r>
        <w:rPr>
          <w:rFonts w:hint="eastAsia" w:ascii="黑体" w:hAnsi="黑体" w:eastAsia="黑体" w:cs="黑体"/>
          <w:b/>
          <w:bCs/>
          <w:sz w:val="44"/>
          <w:szCs w:val="44"/>
          <w:highlight w:val="none"/>
          <w:lang w:val="en-US" w:eastAsia="zh-CN"/>
        </w:rPr>
        <w:t>第二章 资格审查办法</w:t>
      </w:r>
      <w:bookmarkEnd w:id="29"/>
    </w:p>
    <w:p>
      <w:pPr>
        <w:pStyle w:val="7"/>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ascii="Times New Roman" w:hAnsi="Times New Roman" w:cs="Times New Roman"/>
          <w:b/>
          <w:bCs/>
          <w:color w:val="auto"/>
          <w:sz w:val="24"/>
          <w:szCs w:val="24"/>
          <w:highlight w:val="none"/>
        </w:rPr>
      </w:pPr>
      <w:r>
        <w:rPr>
          <w:rFonts w:hint="eastAsia" w:ascii="Times New Roman" w:hAnsi="Times New Roman" w:cs="Times New Roman"/>
          <w:b/>
          <w:bCs/>
          <w:color w:val="auto"/>
          <w:sz w:val="24"/>
          <w:szCs w:val="24"/>
          <w:highlight w:val="none"/>
          <w:lang w:val="en-US"/>
        </w:rPr>
        <w:t>一、</w:t>
      </w:r>
      <w:r>
        <w:rPr>
          <w:rFonts w:ascii="Times New Roman" w:hAnsi="Times New Roman" w:cs="Times New Roman"/>
          <w:b/>
          <w:bCs/>
          <w:color w:val="auto"/>
          <w:sz w:val="24"/>
          <w:szCs w:val="24"/>
          <w:highlight w:val="none"/>
        </w:rPr>
        <w:t>本</w:t>
      </w:r>
      <w:r>
        <w:rPr>
          <w:rFonts w:hint="eastAsia" w:ascii="Times New Roman" w:hAnsi="Times New Roman" w:cs="Times New Roman"/>
          <w:b/>
          <w:bCs/>
          <w:color w:val="auto"/>
          <w:sz w:val="24"/>
          <w:szCs w:val="24"/>
          <w:highlight w:val="none"/>
          <w:lang w:eastAsia="zh-CN"/>
        </w:rPr>
        <w:t>项目</w:t>
      </w:r>
      <w:r>
        <w:rPr>
          <w:rFonts w:ascii="Times New Roman" w:hAnsi="Times New Roman" w:cs="Times New Roman"/>
          <w:b/>
          <w:bCs/>
          <w:color w:val="auto"/>
          <w:sz w:val="24"/>
          <w:szCs w:val="24"/>
          <w:highlight w:val="none"/>
        </w:rPr>
        <w:t>采用</w:t>
      </w:r>
      <w:r>
        <w:rPr>
          <w:rFonts w:ascii="Times New Roman" w:hAnsi="Times New Roman" w:cs="Times New Roman"/>
          <w:b/>
          <w:bCs/>
          <w:color w:val="auto"/>
          <w:sz w:val="24"/>
          <w:szCs w:val="24"/>
          <w:highlight w:val="none"/>
          <w:u w:val="single"/>
          <w:lang w:val="en-US"/>
        </w:rPr>
        <w:t>资格预审</w:t>
      </w:r>
      <w:r>
        <w:rPr>
          <w:rFonts w:ascii="Times New Roman" w:hAnsi="Times New Roman" w:cs="Times New Roman"/>
          <w:b/>
          <w:bCs/>
          <w:color w:val="auto"/>
          <w:sz w:val="24"/>
          <w:szCs w:val="24"/>
          <w:highlight w:val="none"/>
        </w:rPr>
        <w:t>对</w:t>
      </w:r>
      <w:r>
        <w:rPr>
          <w:rFonts w:hint="eastAsia" w:ascii="Times New Roman" w:hAnsi="Times New Roman" w:cs="Times New Roman"/>
          <w:b/>
          <w:bCs/>
          <w:color w:val="auto"/>
          <w:sz w:val="24"/>
          <w:szCs w:val="24"/>
          <w:highlight w:val="none"/>
          <w:lang w:eastAsia="zh-CN"/>
        </w:rPr>
        <w:t>供应商</w:t>
      </w:r>
      <w:r>
        <w:rPr>
          <w:rFonts w:ascii="Times New Roman" w:hAnsi="Times New Roman" w:cs="Times New Roman"/>
          <w:b/>
          <w:bCs/>
          <w:color w:val="auto"/>
          <w:sz w:val="24"/>
          <w:szCs w:val="24"/>
          <w:highlight w:val="none"/>
        </w:rPr>
        <w:t>进行资格审查。</w:t>
      </w:r>
    </w:p>
    <w:p>
      <w:pPr>
        <w:keepNext w:val="0"/>
        <w:keepLines w:val="0"/>
        <w:pageBreakBefore w:val="0"/>
        <w:widowControl w:val="0"/>
        <w:kinsoku/>
        <w:wordWrap/>
        <w:overflowPunct/>
        <w:topLinePunct w:val="0"/>
        <w:bidi w:val="0"/>
        <w:adjustRightInd/>
        <w:snapToGrid/>
        <w:spacing w:before="69" w:line="520" w:lineRule="exact"/>
        <w:ind w:right="-46" w:rightChars="-22"/>
        <w:textAlignment w:val="auto"/>
        <w:rPr>
          <w:rFonts w:ascii="Times New Roman" w:hAnsi="Times New Roman"/>
          <w:b/>
          <w:bCs/>
          <w:color w:val="auto"/>
          <w:sz w:val="24"/>
          <w:szCs w:val="24"/>
          <w:highlight w:val="none"/>
          <w:lang w:val="zh-CN" w:bidi="zh-CN"/>
        </w:rPr>
      </w:pPr>
      <w:r>
        <w:rPr>
          <w:rFonts w:hint="eastAsia" w:ascii="Times New Roman" w:hAnsi="Times New Roman"/>
          <w:b/>
          <w:bCs/>
          <w:color w:val="auto"/>
          <w:sz w:val="24"/>
          <w:szCs w:val="24"/>
          <w:highlight w:val="none"/>
          <w:lang w:bidi="zh-CN"/>
        </w:rPr>
        <w:t>二、</w:t>
      </w:r>
      <w:r>
        <w:rPr>
          <w:rFonts w:ascii="Times New Roman" w:hAnsi="Times New Roman"/>
          <w:b/>
          <w:bCs/>
          <w:color w:val="auto"/>
          <w:sz w:val="24"/>
          <w:szCs w:val="24"/>
          <w:highlight w:val="none"/>
          <w:lang w:val="zh-CN" w:bidi="zh-CN"/>
        </w:rPr>
        <w:t>本</w:t>
      </w:r>
      <w:r>
        <w:rPr>
          <w:rFonts w:hint="eastAsia"/>
          <w:b/>
          <w:bCs/>
          <w:color w:val="auto"/>
          <w:sz w:val="24"/>
          <w:szCs w:val="24"/>
          <w:highlight w:val="none"/>
          <w:lang w:val="zh-CN" w:bidi="zh-CN"/>
        </w:rPr>
        <w:t>项目</w:t>
      </w:r>
      <w:r>
        <w:rPr>
          <w:rFonts w:ascii="Times New Roman" w:hAnsi="Times New Roman"/>
          <w:b/>
          <w:bCs/>
          <w:color w:val="auto"/>
          <w:sz w:val="24"/>
          <w:szCs w:val="24"/>
          <w:highlight w:val="none"/>
          <w:lang w:val="zh-CN" w:bidi="zh-CN"/>
        </w:rPr>
        <w:t>资审合格条件：</w:t>
      </w:r>
    </w:p>
    <w:p>
      <w:pPr>
        <w:keepNext w:val="0"/>
        <w:keepLines w:val="0"/>
        <w:pageBreakBefore w:val="0"/>
        <w:widowControl w:val="0"/>
        <w:kinsoku/>
        <w:wordWrap/>
        <w:overflowPunct/>
        <w:topLinePunct w:val="0"/>
        <w:bidi w:val="0"/>
        <w:adjustRightInd/>
        <w:snapToGrid/>
        <w:spacing w:line="520" w:lineRule="exact"/>
        <w:textAlignment w:val="auto"/>
        <w:rPr>
          <w:rFonts w:ascii="宋体" w:hAnsi="宋体"/>
          <w:b/>
          <w:bCs/>
          <w:spacing w:val="6"/>
          <w:kern w:val="48"/>
          <w:sz w:val="24"/>
          <w:szCs w:val="24"/>
          <w:highlight w:val="none"/>
        </w:rPr>
      </w:pPr>
      <w:r>
        <w:rPr>
          <w:rFonts w:hint="eastAsia" w:ascii="宋体" w:hAnsi="宋体"/>
          <w:b/>
          <w:bCs/>
          <w:spacing w:val="6"/>
          <w:kern w:val="48"/>
          <w:sz w:val="24"/>
          <w:szCs w:val="24"/>
          <w:highlight w:val="none"/>
          <w:lang w:val="en-US" w:eastAsia="zh-CN"/>
        </w:rPr>
        <w:t>2.1</w:t>
      </w:r>
      <w:r>
        <w:rPr>
          <w:rFonts w:hint="eastAsia" w:ascii="宋体" w:hAnsi="宋体"/>
          <w:b/>
          <w:bCs/>
          <w:spacing w:val="6"/>
          <w:kern w:val="48"/>
          <w:sz w:val="24"/>
          <w:szCs w:val="24"/>
          <w:highlight w:val="none"/>
        </w:rPr>
        <w:t>供应商应具备下列条件：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（1）具有独立承担民事责任的能力；</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（2）具有良好的商业信誉和健全的财务会计制度；</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（3）具有履行合同所必需的设备和专业技术能力；</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（4）有依法缴纳税收和社会保障资金的良好记录；</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（5）参加采购活动前三年内，在经营活动中没有重大违法记录；</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rPr>
      </w:pPr>
      <w:r>
        <w:rPr>
          <w:rFonts w:hint="eastAsia" w:ascii="宋体" w:hAnsi="宋体"/>
          <w:spacing w:val="6"/>
          <w:kern w:val="48"/>
          <w:sz w:val="24"/>
          <w:szCs w:val="24"/>
          <w:highlight w:val="none"/>
        </w:rPr>
        <w:t>（6）未被“信用中国”网站（WWW.creditchina.gov.cn）或“中国政府采购网”网站（www.ccgp.gov.cn）列入失信被执行人、重大税收违法案件当事人名单、政府采购严重失信行为记录名单</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7</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近三年未被市场监督管理局进行处罚；</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8</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rPr>
        <w:t>法律、行政法规规定的其他条件。</w:t>
      </w:r>
    </w:p>
    <w:p>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b/>
          <w:bCs/>
          <w:spacing w:val="6"/>
          <w:kern w:val="48"/>
          <w:sz w:val="24"/>
          <w:szCs w:val="24"/>
          <w:highlight w:val="none"/>
        </w:rPr>
      </w:pPr>
      <w:r>
        <w:rPr>
          <w:rFonts w:hint="eastAsia" w:ascii="宋体" w:hAnsi="宋体"/>
          <w:b/>
          <w:bCs/>
          <w:spacing w:val="6"/>
          <w:kern w:val="48"/>
          <w:sz w:val="24"/>
          <w:szCs w:val="24"/>
          <w:highlight w:val="none"/>
          <w:lang w:val="en-US" w:eastAsia="zh-CN"/>
        </w:rPr>
        <w:t>2.2</w:t>
      </w:r>
      <w:r>
        <w:rPr>
          <w:rFonts w:hint="eastAsia" w:ascii="宋体" w:hAnsi="宋体"/>
          <w:b/>
          <w:bCs/>
          <w:spacing w:val="6"/>
          <w:kern w:val="48"/>
          <w:sz w:val="24"/>
          <w:szCs w:val="24"/>
          <w:highlight w:val="none"/>
        </w:rPr>
        <w:t>针对本项目，供应商应具备的特定条件：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1</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供应商具有有效的营业执照及食品经营许可证；</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2</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w:t>
      </w:r>
      <w:r>
        <w:rPr>
          <w:rFonts w:hint="eastAsia" w:ascii="宋体" w:hAnsi="宋体"/>
          <w:spacing w:val="6"/>
          <w:kern w:val="48"/>
          <w:sz w:val="24"/>
          <w:szCs w:val="24"/>
          <w:highlight w:val="none"/>
        </w:rPr>
        <w:t>常州市区域</w:t>
      </w:r>
      <w:r>
        <w:rPr>
          <w:rFonts w:hint="eastAsia" w:ascii="宋体" w:hAnsi="宋体"/>
          <w:spacing w:val="6"/>
          <w:kern w:val="48"/>
          <w:sz w:val="24"/>
          <w:szCs w:val="24"/>
          <w:highlight w:val="none"/>
          <w:lang w:eastAsia="zh-CN"/>
        </w:rPr>
        <w:t>或距离常州市金坛区人民政府</w:t>
      </w:r>
      <w:r>
        <w:rPr>
          <w:rFonts w:hint="eastAsia" w:ascii="宋体" w:hAnsi="宋体"/>
          <w:spacing w:val="6"/>
          <w:kern w:val="48"/>
          <w:sz w:val="24"/>
          <w:szCs w:val="24"/>
          <w:highlight w:val="none"/>
          <w:lang w:val="en-US" w:eastAsia="zh-CN"/>
        </w:rPr>
        <w:t>1小时路程的</w:t>
      </w:r>
      <w:r>
        <w:rPr>
          <w:rFonts w:hint="eastAsia" w:ascii="宋体" w:hAnsi="宋体"/>
          <w:spacing w:val="6"/>
          <w:kern w:val="48"/>
          <w:sz w:val="24"/>
          <w:szCs w:val="24"/>
          <w:highlight w:val="none"/>
        </w:rPr>
        <w:t>范围</w:t>
      </w:r>
      <w:r>
        <w:rPr>
          <w:rFonts w:hint="eastAsia" w:ascii="宋体" w:hAnsi="宋体"/>
          <w:spacing w:val="6"/>
          <w:kern w:val="48"/>
          <w:sz w:val="24"/>
          <w:szCs w:val="24"/>
          <w:highlight w:val="none"/>
        </w:rPr>
        <w:t>内应具有固定加工经营场所。用于本项目的加工经营场所的面积不低于500平方米</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3</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加工经营场所内需配备车辆装卸场地、物资分发区、仓储区、肉类分割区、蔬菜分拣加工区、筐箱清洗消毒区、办公区、快检室等。其中，荤菜冷冻和加工必须在同一场所，蔬菜冷藏、清洗和分拣必须在同一场所</w:t>
      </w:r>
      <w:r>
        <w:rPr>
          <w:rFonts w:hint="eastAsia" w:ascii="宋体" w:hAnsi="宋体"/>
          <w:spacing w:val="6"/>
          <w:kern w:val="48"/>
          <w:sz w:val="24"/>
          <w:szCs w:val="24"/>
          <w:highlight w:val="none"/>
          <w:lang w:val="en-US"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4</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在加工经营场所内需配备快检室</w:t>
      </w:r>
      <w:r>
        <w:rPr>
          <w:rFonts w:hint="eastAsia" w:ascii="宋体" w:hAnsi="宋体"/>
          <w:spacing w:val="6"/>
          <w:kern w:val="48"/>
          <w:sz w:val="24"/>
          <w:szCs w:val="24"/>
          <w:highlight w:val="none"/>
          <w:lang w:val="en-US" w:eastAsia="zh-CN"/>
        </w:rPr>
        <w:t>和</w:t>
      </w:r>
      <w:r>
        <w:rPr>
          <w:rFonts w:hint="eastAsia" w:ascii="宋体" w:hAnsi="宋体"/>
          <w:spacing w:val="6"/>
          <w:kern w:val="48"/>
          <w:sz w:val="24"/>
          <w:szCs w:val="24"/>
          <w:highlight w:val="none"/>
        </w:rPr>
        <w:t>相应的专业检测设备，检测人员能开展兽药残留、农药残留等项目的快速检测。</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5</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应配备与本项目相适应的冷冻、冷藏库</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6</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运输鲜活水产时</w:t>
      </w:r>
      <w:r>
        <w:rPr>
          <w:rFonts w:hint="eastAsia" w:ascii="宋体" w:hAnsi="宋体"/>
          <w:spacing w:val="6"/>
          <w:kern w:val="48"/>
          <w:sz w:val="24"/>
          <w:szCs w:val="24"/>
          <w:highlight w:val="none"/>
          <w:lang w:val="en-US" w:eastAsia="zh-CN"/>
        </w:rPr>
        <w:t>须</w:t>
      </w:r>
      <w:r>
        <w:rPr>
          <w:rFonts w:hint="eastAsia" w:ascii="宋体" w:hAnsi="宋体"/>
          <w:spacing w:val="6"/>
          <w:kern w:val="48"/>
          <w:sz w:val="24"/>
          <w:szCs w:val="24"/>
          <w:highlight w:val="none"/>
        </w:rPr>
        <w:t>配备增氧装置。</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7</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应配备至少2辆带有冷藏功能的厢式货车</w:t>
      </w:r>
      <w:r>
        <w:rPr>
          <w:rFonts w:hint="eastAsia" w:ascii="宋体" w:hAnsi="宋体"/>
          <w:spacing w:val="6"/>
          <w:kern w:val="48"/>
          <w:sz w:val="24"/>
          <w:szCs w:val="24"/>
          <w:highlight w:val="none"/>
          <w:lang w:eastAsia="zh-CN"/>
        </w:rPr>
        <w:t>，其中一辆须为自有。</w:t>
      </w:r>
    </w:p>
    <w:p>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b/>
          <w:bCs/>
          <w:spacing w:val="6"/>
          <w:kern w:val="48"/>
          <w:sz w:val="24"/>
          <w:szCs w:val="24"/>
          <w:highlight w:val="none"/>
          <w:lang w:val="en-US" w:eastAsia="zh-CN"/>
        </w:rPr>
      </w:pPr>
      <w:r>
        <w:rPr>
          <w:rFonts w:hint="eastAsia" w:ascii="宋体" w:hAnsi="宋体"/>
          <w:b/>
          <w:bCs/>
          <w:spacing w:val="6"/>
          <w:kern w:val="48"/>
          <w:sz w:val="24"/>
          <w:szCs w:val="24"/>
          <w:highlight w:val="none"/>
          <w:lang w:val="en-US" w:eastAsia="zh-CN"/>
        </w:rPr>
        <w:t>2.3资格预审需审查的材料及相关要求</w:t>
      </w:r>
    </w:p>
    <w:p>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spacing w:val="6"/>
          <w:kern w:val="48"/>
          <w:sz w:val="24"/>
          <w:szCs w:val="24"/>
          <w:highlight w:val="none"/>
          <w:lang w:val="en-US" w:eastAsia="zh-CN"/>
        </w:rPr>
      </w:pPr>
      <w:r>
        <w:rPr>
          <w:rFonts w:hint="eastAsia" w:ascii="宋体" w:hAnsi="宋体"/>
          <w:spacing w:val="6"/>
          <w:kern w:val="48"/>
          <w:sz w:val="24"/>
          <w:szCs w:val="24"/>
          <w:highlight w:val="none"/>
          <w:lang w:val="en-US" w:eastAsia="zh-CN"/>
        </w:rPr>
        <w:t>2.3.1资格审查材料：</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lang w:eastAsia="zh-CN"/>
        </w:rPr>
      </w:pPr>
      <w:r>
        <w:rPr>
          <w:rFonts w:hint="eastAsia" w:ascii="宋体" w:hAnsi="宋体"/>
          <w:spacing w:val="6"/>
          <w:kern w:val="48"/>
          <w:sz w:val="24"/>
          <w:szCs w:val="24"/>
          <w:highlight w:val="none"/>
          <w:lang w:eastAsia="zh-CN"/>
        </w:rPr>
        <w:t>（1）供应商自有房产证复印件或租赁合同复印件（租赁到期时间不得早于2024年8月1日）、</w:t>
      </w:r>
      <w:r>
        <w:rPr>
          <w:rFonts w:hint="eastAsia" w:asciiTheme="minorHAnsi" w:eastAsiaTheme="minorEastAsia"/>
          <w:sz w:val="24"/>
          <w:szCs w:val="24"/>
          <w:highlight w:val="none"/>
          <w:lang w:val="en-US" w:eastAsia="zh-CN"/>
        </w:rPr>
        <w:t>路程时长截图</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lang w:eastAsia="zh-CN"/>
        </w:rPr>
      </w:pPr>
      <w:r>
        <w:rPr>
          <w:rFonts w:hint="eastAsia" w:ascii="宋体" w:hAnsi="宋体"/>
          <w:spacing w:val="6"/>
          <w:kern w:val="48"/>
          <w:sz w:val="24"/>
          <w:szCs w:val="24"/>
          <w:highlight w:val="none"/>
          <w:lang w:eastAsia="zh-CN"/>
        </w:rPr>
        <w:t>（2）快检室检测人员缴纳社保证明复印件。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eastAsia="zh-CN"/>
        </w:rPr>
      </w:pPr>
      <w:r>
        <w:rPr>
          <w:rFonts w:hint="eastAsia" w:ascii="宋体" w:hAnsi="宋体"/>
          <w:spacing w:val="6"/>
          <w:kern w:val="48"/>
          <w:sz w:val="24"/>
          <w:szCs w:val="24"/>
          <w:highlight w:val="none"/>
          <w:lang w:eastAsia="zh-CN"/>
        </w:rPr>
        <w:t>（3）</w:t>
      </w:r>
      <w:r>
        <w:rPr>
          <w:rFonts w:hint="eastAsia" w:ascii="宋体" w:hAnsi="宋体" w:cs="Times New Roman"/>
          <w:spacing w:val="6"/>
          <w:kern w:val="48"/>
          <w:sz w:val="24"/>
          <w:szCs w:val="24"/>
          <w:highlight w:val="none"/>
          <w:lang w:eastAsia="zh-CN"/>
        </w:rPr>
        <w:t>供应商购买冷藏、冷冻设备发票或租赁合同复印件（租赁到期时间不得早于2024年8月1日）。</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eastAsia="zh-CN"/>
        </w:rPr>
      </w:pPr>
      <w:r>
        <w:rPr>
          <w:rFonts w:hint="eastAsia" w:ascii="宋体" w:hAnsi="宋体" w:cs="Times New Roman"/>
          <w:spacing w:val="6"/>
          <w:kern w:val="48"/>
          <w:sz w:val="24"/>
          <w:szCs w:val="24"/>
          <w:highlight w:val="none"/>
          <w:lang w:eastAsia="zh-CN"/>
        </w:rPr>
        <w:t>（4）供应商购买水产增氧装置发票或租赁合同复印件（租赁到期时间不得早于2024年8月1日）。</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eastAsia="zh-CN"/>
        </w:rPr>
      </w:pPr>
      <w:r>
        <w:rPr>
          <w:rFonts w:hint="eastAsia" w:ascii="宋体" w:hAnsi="宋体" w:cs="Times New Roman"/>
          <w:spacing w:val="6"/>
          <w:kern w:val="48"/>
          <w:sz w:val="24"/>
          <w:szCs w:val="24"/>
          <w:highlight w:val="none"/>
          <w:lang w:eastAsia="zh-CN"/>
        </w:rPr>
        <w:t>（5）</w:t>
      </w:r>
      <w:r>
        <w:rPr>
          <w:rFonts w:hint="eastAsia" w:asciiTheme="minorHAnsi" w:eastAsiaTheme="minorEastAsia"/>
          <w:sz w:val="24"/>
          <w:szCs w:val="24"/>
          <w:highlight w:val="none"/>
          <w:lang w:val="en-US" w:eastAsia="zh-CN"/>
        </w:rPr>
        <w:t>供应商应配备至少2辆带有冷藏功能的厢式货车，其中一辆须为自有。自有车辆提供车辆行驶证复印件（所有人必须是供应商），租赁车辆提供租赁合同复印件</w:t>
      </w:r>
      <w:bookmarkStart w:id="35" w:name="_GoBack"/>
      <w:bookmarkEnd w:id="35"/>
      <w:r>
        <w:rPr>
          <w:rFonts w:hint="eastAsia" w:ascii="宋体" w:hAnsi="宋体" w:cs="Times New Roman"/>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eastAsia="zh-CN"/>
        </w:rPr>
      </w:pPr>
      <w:r>
        <w:rPr>
          <w:rFonts w:hint="eastAsia" w:ascii="宋体" w:hAnsi="宋体" w:cs="Times New Roman"/>
          <w:spacing w:val="6"/>
          <w:kern w:val="48"/>
          <w:sz w:val="24"/>
          <w:szCs w:val="24"/>
          <w:highlight w:val="none"/>
          <w:lang w:eastAsia="zh-CN"/>
        </w:rPr>
        <w:t>（</w:t>
      </w:r>
      <w:r>
        <w:rPr>
          <w:rFonts w:hint="eastAsia" w:ascii="宋体" w:hAnsi="宋体" w:cs="Times New Roman"/>
          <w:spacing w:val="6"/>
          <w:kern w:val="48"/>
          <w:sz w:val="24"/>
          <w:szCs w:val="24"/>
          <w:highlight w:val="none"/>
          <w:lang w:val="en-US" w:eastAsia="zh-CN"/>
        </w:rPr>
        <w:t>6</w:t>
      </w:r>
      <w:r>
        <w:rPr>
          <w:rFonts w:hint="eastAsia" w:ascii="宋体" w:hAnsi="宋体" w:cs="Times New Roman"/>
          <w:spacing w:val="6"/>
          <w:kern w:val="48"/>
          <w:sz w:val="24"/>
          <w:szCs w:val="24"/>
          <w:highlight w:val="none"/>
          <w:lang w:eastAsia="zh-CN"/>
        </w:rPr>
        <w:t>）有效的营业执照及食品经营许可证复印件。</w:t>
      </w:r>
    </w:p>
    <w:p>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spacing w:val="6"/>
          <w:kern w:val="48"/>
          <w:sz w:val="24"/>
          <w:szCs w:val="24"/>
          <w:highlight w:val="none"/>
          <w:lang w:val="en-US" w:eastAsia="zh-CN"/>
        </w:rPr>
      </w:pPr>
      <w:r>
        <w:rPr>
          <w:rFonts w:hint="eastAsia" w:ascii="宋体" w:hAnsi="宋体"/>
          <w:spacing w:val="6"/>
          <w:kern w:val="48"/>
          <w:sz w:val="24"/>
          <w:szCs w:val="24"/>
          <w:highlight w:val="none"/>
          <w:lang w:val="en-US" w:eastAsia="zh-CN"/>
        </w:rPr>
        <w:t>2.3.2对资格审查材料的相关要求：</w:t>
      </w:r>
    </w:p>
    <w:p>
      <w:pPr>
        <w:pStyle w:val="2"/>
        <w:ind w:left="0" w:leftChars="0" w:firstLine="504" w:firstLineChars="200"/>
        <w:rPr>
          <w:rFonts w:hint="default"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（1）资格审查材料须加盖供应商公章，单独装订密封，原件备查。</w:t>
      </w:r>
    </w:p>
    <w:p>
      <w:pPr>
        <w:pStyle w:val="2"/>
        <w:ind w:left="0" w:leftChars="0" w:firstLine="504" w:firstLineChars="200"/>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（2）资格审查材料必须满足要求且一次性提交，资格预审截止时间后不再接受任何补充资料。</w:t>
      </w:r>
    </w:p>
    <w:p>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b/>
          <w:bCs/>
          <w:spacing w:val="6"/>
          <w:kern w:val="48"/>
          <w:sz w:val="24"/>
          <w:szCs w:val="24"/>
          <w:highlight w:val="none"/>
          <w:lang w:val="en-US" w:eastAsia="zh-CN"/>
        </w:rPr>
      </w:pPr>
      <w:r>
        <w:rPr>
          <w:rFonts w:hint="eastAsia" w:ascii="宋体" w:hAnsi="宋体"/>
          <w:b/>
          <w:bCs/>
          <w:spacing w:val="6"/>
          <w:kern w:val="48"/>
          <w:sz w:val="24"/>
          <w:szCs w:val="24"/>
          <w:highlight w:val="none"/>
          <w:lang w:val="en-US" w:eastAsia="zh-CN"/>
        </w:rPr>
        <w:t>2.4确定潜在供应商的方式: 合格制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通过资格审查的供应商将获得招标文件。</w:t>
      </w:r>
    </w:p>
    <w:p>
      <w:pPr>
        <w:pStyle w:val="2"/>
        <w:ind w:left="0" w:leftChars="0" w:firstLine="0" w:firstLineChars="0"/>
        <w:jc w:val="left"/>
        <w:rPr>
          <w:rFonts w:hint="eastAsia" w:ascii="宋体" w:hAnsi="宋体" w:eastAsia="宋体" w:cs="Times New Roman"/>
          <w:b/>
          <w:bCs/>
          <w:spacing w:val="6"/>
          <w:kern w:val="48"/>
          <w:sz w:val="24"/>
          <w:szCs w:val="24"/>
          <w:highlight w:val="none"/>
          <w:lang w:val="en-US" w:eastAsia="zh-CN" w:bidi="ar-SA"/>
        </w:rPr>
      </w:pPr>
      <w:r>
        <w:rPr>
          <w:rFonts w:hint="eastAsia" w:ascii="宋体" w:hAnsi="宋体" w:eastAsia="宋体" w:cs="Times New Roman"/>
          <w:b/>
          <w:bCs/>
          <w:spacing w:val="6"/>
          <w:kern w:val="48"/>
          <w:sz w:val="24"/>
          <w:szCs w:val="24"/>
          <w:highlight w:val="none"/>
          <w:lang w:val="en-US" w:eastAsia="zh-CN" w:bidi="ar-SA"/>
        </w:rPr>
        <w:t>2.5资格预审时间、地点</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（1）递交资格预审申请文件截止时间：2023年7月24日9:30整，超过2023年7月24日9:30未签到或未递交资格预审文件的，作该供应商自动放弃参与资格预审处理。</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（2）地点：</w:t>
      </w:r>
      <w:r>
        <w:rPr>
          <w:rFonts w:hint="eastAsia" w:ascii="宋体" w:hAnsi="宋体" w:cs="宋体"/>
          <w:sz w:val="24"/>
          <w:szCs w:val="24"/>
          <w:highlight w:val="none"/>
          <w:lang w:eastAsia="zh-CN"/>
        </w:rPr>
        <w:t>江苏开天工程咨询有限公司开标室（常州市金坛区翠园商业广场三楼开标室）</w:t>
      </w:r>
      <w:r>
        <w:rPr>
          <w:rFonts w:hint="eastAsia" w:ascii="宋体" w:hAnsi="宋体" w:cs="Times New Roman"/>
          <w:spacing w:val="6"/>
          <w:kern w:val="48"/>
          <w:sz w:val="24"/>
          <w:szCs w:val="24"/>
          <w:highlight w:val="none"/>
          <w:lang w:val="en-US" w:eastAsia="zh-CN"/>
        </w:rPr>
        <w:t>。</w:t>
      </w:r>
    </w:p>
    <w:p>
      <w:pPr>
        <w:pStyle w:val="2"/>
        <w:ind w:left="0" w:leftChars="0" w:firstLine="0" w:firstLineChars="0"/>
        <w:jc w:val="left"/>
        <w:rPr>
          <w:rFonts w:hint="eastAsia" w:ascii="黑体" w:hAnsi="黑体" w:eastAsia="黑体" w:cs="黑体"/>
          <w:b/>
          <w:bCs/>
          <w:sz w:val="44"/>
          <w:szCs w:val="44"/>
          <w:highlight w:val="none"/>
          <w:lang w:val="en-US" w:eastAsia="zh-CN"/>
        </w:rPr>
      </w:pPr>
      <w:r>
        <w:rPr>
          <w:rFonts w:hint="eastAsia" w:ascii="黑体" w:hAnsi="黑体" w:eastAsia="黑体" w:cs="黑体"/>
          <w:b/>
          <w:bCs/>
          <w:sz w:val="44"/>
          <w:szCs w:val="44"/>
          <w:highlight w:val="none"/>
          <w:lang w:val="en-US" w:eastAsia="zh-CN"/>
        </w:rPr>
        <w:br w:type="page"/>
      </w:r>
    </w:p>
    <w:p>
      <w:pPr>
        <w:pStyle w:val="2"/>
        <w:ind w:left="0" w:leftChars="0" w:firstLine="0" w:firstLineChars="0"/>
        <w:jc w:val="left"/>
        <w:rPr>
          <w:rFonts w:hint="eastAsia" w:ascii="宋体" w:hAnsi="宋体" w:eastAsia="宋体" w:cs="Times New Roman"/>
          <w:b/>
          <w:bCs/>
          <w:spacing w:val="6"/>
          <w:kern w:val="48"/>
          <w:sz w:val="24"/>
          <w:szCs w:val="24"/>
          <w:highlight w:val="none"/>
          <w:lang w:val="en-US" w:eastAsia="zh-CN" w:bidi="ar-SA"/>
        </w:rPr>
      </w:pPr>
      <w:r>
        <w:rPr>
          <w:rFonts w:hint="eastAsia" w:ascii="宋体" w:hAnsi="宋体" w:eastAsia="宋体" w:cs="Times New Roman"/>
          <w:b/>
          <w:bCs/>
          <w:spacing w:val="6"/>
          <w:kern w:val="48"/>
          <w:sz w:val="24"/>
          <w:szCs w:val="24"/>
          <w:highlight w:val="none"/>
          <w:lang w:val="en-US" w:eastAsia="zh-CN" w:bidi="ar-SA"/>
        </w:rPr>
        <w:t>2.</w:t>
      </w:r>
      <w:r>
        <w:rPr>
          <w:rFonts w:hint="eastAsia" w:ascii="宋体" w:hAnsi="宋体" w:cs="Times New Roman"/>
          <w:b/>
          <w:bCs/>
          <w:spacing w:val="6"/>
          <w:kern w:val="48"/>
          <w:sz w:val="24"/>
          <w:szCs w:val="24"/>
          <w:highlight w:val="none"/>
          <w:lang w:val="en-US" w:eastAsia="zh-CN" w:bidi="ar-SA"/>
        </w:rPr>
        <w:t>6资格预审供应商人员到场要求及需提供的材料</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申请人的委托代理人必须参加资格预审，向招标人提交法定代表人授权委托书原件。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以上参加人员在资格预审截止时间时有下列情形之一的，视为自动放弃参与资格预审处理，招标人不予受理：</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1、未到达资格预审现场的；</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2、未参加资格预审签到的；</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3、身份核验时未能提供相关材料的；</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黑体" w:hAnsi="黑体" w:eastAsia="黑体" w:cs="黑体"/>
          <w:b/>
          <w:bCs/>
          <w:sz w:val="44"/>
          <w:szCs w:val="44"/>
          <w:highlight w:val="none"/>
          <w:lang w:val="en-US" w:eastAsia="zh-CN"/>
        </w:rPr>
      </w:pPr>
      <w:r>
        <w:rPr>
          <w:rFonts w:hint="eastAsia" w:ascii="宋体" w:hAnsi="宋体" w:cs="Times New Roman"/>
          <w:spacing w:val="6"/>
          <w:kern w:val="48"/>
          <w:sz w:val="24"/>
          <w:szCs w:val="24"/>
          <w:highlight w:val="none"/>
          <w:lang w:val="en-US" w:eastAsia="zh-CN"/>
        </w:rPr>
        <w:t>4、法律法规规定的其他情形。</w:t>
      </w:r>
      <w:r>
        <w:rPr>
          <w:rFonts w:hint="eastAsia" w:ascii="黑体" w:hAnsi="黑体" w:eastAsia="黑体" w:cs="黑体"/>
          <w:b/>
          <w:bCs/>
          <w:sz w:val="44"/>
          <w:szCs w:val="44"/>
          <w:highlight w:val="none"/>
          <w:lang w:val="en-US" w:eastAsia="zh-CN"/>
        </w:rPr>
        <w:br w:type="page"/>
      </w:r>
    </w:p>
    <w:p>
      <w:pPr>
        <w:pStyle w:val="17"/>
        <w:bidi w:val="0"/>
        <w:jc w:val="center"/>
        <w:rPr>
          <w:rFonts w:hint="eastAsia" w:ascii="黑体" w:hAnsi="黑体" w:eastAsia="黑体" w:cs="黑体"/>
          <w:b/>
          <w:bCs/>
          <w:sz w:val="44"/>
          <w:szCs w:val="44"/>
          <w:highlight w:val="none"/>
          <w:lang w:val="en-US" w:eastAsia="zh-CN"/>
        </w:rPr>
      </w:pPr>
      <w:r>
        <w:rPr>
          <w:rFonts w:hint="eastAsia" w:ascii="黑体" w:hAnsi="黑体" w:eastAsia="黑体" w:cs="黑体"/>
          <w:b/>
          <w:bCs/>
          <w:sz w:val="44"/>
          <w:szCs w:val="44"/>
          <w:highlight w:val="none"/>
          <w:lang w:val="en-US" w:eastAsia="zh-CN"/>
        </w:rPr>
        <w:t>食材配送资格审查表</w:t>
      </w:r>
    </w:p>
    <w:p>
      <w:pPr>
        <w:pStyle w:val="7"/>
        <w:rPr>
          <w:rFonts w:hint="eastAsia"/>
          <w:highlight w:val="none"/>
          <w:lang w:val="en-US" w:eastAsia="zh-CN"/>
        </w:rPr>
      </w:pPr>
    </w:p>
    <w:p>
      <w:pPr>
        <w:pStyle w:val="7"/>
        <w:rPr>
          <w:rFonts w:hint="default"/>
          <w:sz w:val="24"/>
          <w:szCs w:val="24"/>
          <w:highlight w:val="none"/>
          <w:u w:val="none"/>
          <w:lang w:val="en-US" w:eastAsia="zh-CN"/>
        </w:rPr>
      </w:pPr>
      <w:r>
        <w:rPr>
          <w:rFonts w:hint="eastAsia"/>
          <w:sz w:val="24"/>
          <w:szCs w:val="24"/>
          <w:highlight w:val="none"/>
          <w:lang w:val="en-US" w:eastAsia="zh-CN"/>
        </w:rPr>
        <w:t>供应商名称：</w:t>
      </w:r>
      <w:r>
        <w:rPr>
          <w:rFonts w:hint="eastAsia"/>
          <w:sz w:val="24"/>
          <w:szCs w:val="24"/>
          <w:highlight w:val="none"/>
          <w:u w:val="single"/>
          <w:lang w:val="en-US" w:eastAsia="zh-CN"/>
        </w:rPr>
        <w:t xml:space="preserve">                                     </w:t>
      </w:r>
    </w:p>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lang w:val="en-US" w:eastAsia="zh-CN"/>
        </w:rPr>
      </w:pPr>
    </w:p>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lang w:val="en-US" w:eastAsia="zh-CN"/>
        </w:rPr>
      </w:pPr>
      <w:r>
        <w:rPr>
          <w:rFonts w:hint="eastAsia"/>
          <w:sz w:val="24"/>
          <w:szCs w:val="24"/>
          <w:highlight w:val="none"/>
          <w:lang w:val="en-US" w:eastAsia="zh-CN"/>
        </w:rPr>
        <w:t>一、纸质材料审查</w:t>
      </w:r>
    </w:p>
    <w:tbl>
      <w:tblPr>
        <w:tblStyle w:val="15"/>
        <w:tblW w:w="9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8364"/>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762"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序号</w:t>
            </w:r>
          </w:p>
        </w:tc>
        <w:tc>
          <w:tcPr>
            <w:tcW w:w="8364"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审查内容</w:t>
            </w:r>
          </w:p>
        </w:tc>
        <w:tc>
          <w:tcPr>
            <w:tcW w:w="752"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审查结果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62"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1</w:t>
            </w:r>
          </w:p>
        </w:tc>
        <w:tc>
          <w:tcPr>
            <w:tcW w:w="8364"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asciiTheme="minorHAnsi" w:eastAsiaTheme="minorEastAsia"/>
                <w:sz w:val="24"/>
                <w:szCs w:val="24"/>
                <w:highlight w:val="none"/>
                <w:lang w:val="en-US" w:eastAsia="zh-CN"/>
              </w:rPr>
              <w:t>供应商自有房产证复印件或租赁合同复印件、路程时长截图</w:t>
            </w:r>
          </w:p>
        </w:tc>
        <w:tc>
          <w:tcPr>
            <w:tcW w:w="752"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62"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2</w:t>
            </w:r>
          </w:p>
        </w:tc>
        <w:tc>
          <w:tcPr>
            <w:tcW w:w="8364"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asciiTheme="minorHAnsi" w:eastAsiaTheme="minorEastAsia"/>
                <w:sz w:val="24"/>
                <w:szCs w:val="24"/>
                <w:highlight w:val="none"/>
                <w:lang w:val="en-US" w:eastAsia="zh-CN"/>
              </w:rPr>
              <w:t>快检室检测人员缴纳社保证明复印件</w:t>
            </w:r>
          </w:p>
        </w:tc>
        <w:tc>
          <w:tcPr>
            <w:tcW w:w="752"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62"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3</w:t>
            </w:r>
          </w:p>
        </w:tc>
        <w:tc>
          <w:tcPr>
            <w:tcW w:w="8364"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asciiTheme="minorHAnsi" w:eastAsiaTheme="minorEastAsia"/>
                <w:sz w:val="24"/>
                <w:szCs w:val="24"/>
                <w:highlight w:val="none"/>
                <w:lang w:val="en-US" w:eastAsia="zh-CN"/>
              </w:rPr>
            </w:pPr>
            <w:r>
              <w:rPr>
                <w:rFonts w:hint="eastAsia" w:asciiTheme="minorHAnsi" w:eastAsiaTheme="minorEastAsia"/>
                <w:sz w:val="24"/>
                <w:szCs w:val="24"/>
                <w:highlight w:val="none"/>
                <w:lang w:val="en-US" w:eastAsia="zh-CN"/>
              </w:rPr>
              <w:t>供应商购买冷藏、冷冻设备发票或租赁合同复印件</w:t>
            </w:r>
          </w:p>
        </w:tc>
        <w:tc>
          <w:tcPr>
            <w:tcW w:w="752"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62"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4</w:t>
            </w:r>
          </w:p>
        </w:tc>
        <w:tc>
          <w:tcPr>
            <w:tcW w:w="8364"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asciiTheme="minorHAnsi" w:eastAsiaTheme="minorEastAsia"/>
                <w:sz w:val="24"/>
                <w:szCs w:val="24"/>
                <w:highlight w:val="none"/>
                <w:lang w:val="en-US" w:eastAsia="zh-CN"/>
              </w:rPr>
            </w:pPr>
            <w:r>
              <w:rPr>
                <w:rFonts w:hint="eastAsia" w:asciiTheme="minorHAnsi" w:eastAsiaTheme="minorEastAsia"/>
                <w:sz w:val="24"/>
                <w:szCs w:val="24"/>
                <w:highlight w:val="none"/>
                <w:lang w:val="en-US" w:eastAsia="zh-CN"/>
              </w:rPr>
              <w:t>供应商购买水产增氧装置发票或租赁合同复印件</w:t>
            </w:r>
          </w:p>
        </w:tc>
        <w:tc>
          <w:tcPr>
            <w:tcW w:w="752"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762"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5</w:t>
            </w:r>
          </w:p>
        </w:tc>
        <w:tc>
          <w:tcPr>
            <w:tcW w:w="8364"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asciiTheme="minorHAnsi" w:eastAsiaTheme="minorEastAsia"/>
                <w:sz w:val="24"/>
                <w:szCs w:val="24"/>
                <w:highlight w:val="none"/>
                <w:lang w:val="en-US" w:eastAsia="zh-CN"/>
              </w:rPr>
            </w:pPr>
            <w:r>
              <w:rPr>
                <w:rFonts w:hint="eastAsia" w:asciiTheme="minorHAnsi" w:eastAsiaTheme="minorEastAsia"/>
                <w:sz w:val="24"/>
                <w:szCs w:val="24"/>
                <w:highlight w:val="none"/>
                <w:lang w:val="en-US" w:eastAsia="zh-CN"/>
              </w:rPr>
              <w:t>供应商应配备至少2辆带有冷藏功能的厢式货车，其中一辆须为自有。自有车辆提供车辆行驶证复印件（所有人必须是供应商），租赁车辆提供租赁合同复印件</w:t>
            </w:r>
          </w:p>
        </w:tc>
        <w:tc>
          <w:tcPr>
            <w:tcW w:w="752"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762"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6</w:t>
            </w:r>
          </w:p>
        </w:tc>
        <w:tc>
          <w:tcPr>
            <w:tcW w:w="8364"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asciiTheme="minorHAnsi" w:eastAsiaTheme="minorEastAsia"/>
                <w:sz w:val="24"/>
                <w:szCs w:val="24"/>
                <w:highlight w:val="none"/>
                <w:lang w:val="en-US" w:eastAsia="zh-CN"/>
              </w:rPr>
            </w:pPr>
            <w:r>
              <w:rPr>
                <w:rFonts w:hint="eastAsia" w:asciiTheme="minorHAnsi" w:eastAsiaTheme="minorEastAsia"/>
                <w:sz w:val="24"/>
                <w:szCs w:val="24"/>
                <w:highlight w:val="none"/>
                <w:lang w:val="en-US" w:eastAsia="zh-CN"/>
              </w:rPr>
              <w:t>有效的营业执照及食品经营许可证复印件</w:t>
            </w:r>
          </w:p>
        </w:tc>
        <w:tc>
          <w:tcPr>
            <w:tcW w:w="752"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bl>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lang w:val="en-US" w:eastAsia="zh-CN"/>
        </w:rPr>
      </w:pPr>
    </w:p>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lang w:val="en-US" w:eastAsia="zh-CN"/>
        </w:rPr>
      </w:pPr>
      <w:r>
        <w:rPr>
          <w:rFonts w:hint="eastAsia"/>
          <w:sz w:val="24"/>
          <w:szCs w:val="24"/>
          <w:highlight w:val="none"/>
          <w:lang w:val="en-US" w:eastAsia="zh-CN"/>
        </w:rPr>
        <w:t>二、现场审查</w:t>
      </w:r>
    </w:p>
    <w:tbl>
      <w:tblPr>
        <w:tblStyle w:val="1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8347"/>
        <w:gridCol w:w="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序号</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审查内容</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审查结果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1</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用于本项目的加工经营场所</w:t>
            </w:r>
            <w:r>
              <w:rPr>
                <w:rFonts w:hint="eastAsia"/>
                <w:sz w:val="24"/>
                <w:szCs w:val="24"/>
                <w:highlight w:val="none"/>
                <w:lang w:val="en-US" w:eastAsia="zh-CN"/>
              </w:rPr>
              <w:t>房产证（或租赁合同）地址与实际地址一致</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2</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用于本项目的加工经营场所面积</w:t>
            </w:r>
            <w:r>
              <w:rPr>
                <w:rFonts w:hint="eastAsia"/>
                <w:sz w:val="24"/>
                <w:szCs w:val="24"/>
                <w:highlight w:val="none"/>
                <w:lang w:val="en-US" w:eastAsia="zh-CN"/>
              </w:rPr>
              <w:t>实测</w:t>
            </w:r>
            <w:r>
              <w:rPr>
                <w:rFonts w:hint="eastAsia"/>
                <w:sz w:val="24"/>
                <w:szCs w:val="24"/>
                <w:highlight w:val="none"/>
              </w:rPr>
              <w:t>不低于500平方米</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3</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w:t>
            </w:r>
            <w:r>
              <w:rPr>
                <w:rFonts w:hint="eastAsia"/>
                <w:sz w:val="24"/>
                <w:szCs w:val="24"/>
                <w:highlight w:val="none"/>
                <w:lang w:val="en-US" w:eastAsia="zh-CN"/>
              </w:rPr>
              <w:t>加</w:t>
            </w:r>
            <w:r>
              <w:rPr>
                <w:rFonts w:hint="eastAsia"/>
                <w:sz w:val="24"/>
                <w:szCs w:val="24"/>
                <w:highlight w:val="none"/>
              </w:rPr>
              <w:t>工经营场所内配备车辆装卸场地</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4</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w:t>
            </w:r>
            <w:r>
              <w:rPr>
                <w:rFonts w:hint="eastAsia"/>
                <w:sz w:val="24"/>
                <w:szCs w:val="24"/>
                <w:highlight w:val="none"/>
                <w:lang w:val="en-US" w:eastAsia="zh-CN"/>
              </w:rPr>
              <w:t>加</w:t>
            </w:r>
            <w:r>
              <w:rPr>
                <w:rFonts w:hint="eastAsia"/>
                <w:sz w:val="24"/>
                <w:szCs w:val="24"/>
                <w:highlight w:val="none"/>
              </w:rPr>
              <w:t>工经营场所内配备物资分发区</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5</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w:t>
            </w:r>
            <w:r>
              <w:rPr>
                <w:rFonts w:hint="eastAsia"/>
                <w:sz w:val="24"/>
                <w:szCs w:val="24"/>
                <w:highlight w:val="none"/>
                <w:lang w:val="en-US" w:eastAsia="zh-CN"/>
              </w:rPr>
              <w:t>加</w:t>
            </w:r>
            <w:r>
              <w:rPr>
                <w:rFonts w:hint="eastAsia"/>
                <w:sz w:val="24"/>
                <w:szCs w:val="24"/>
                <w:highlight w:val="none"/>
              </w:rPr>
              <w:t>工经营场所内配备仓储区</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6</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w:t>
            </w:r>
            <w:r>
              <w:rPr>
                <w:rFonts w:hint="eastAsia"/>
                <w:sz w:val="24"/>
                <w:szCs w:val="24"/>
                <w:highlight w:val="none"/>
                <w:lang w:val="en-US" w:eastAsia="zh-CN"/>
              </w:rPr>
              <w:t>加</w:t>
            </w:r>
            <w:r>
              <w:rPr>
                <w:rFonts w:hint="eastAsia"/>
                <w:sz w:val="24"/>
                <w:szCs w:val="24"/>
                <w:highlight w:val="none"/>
              </w:rPr>
              <w:t>工经营场所内配备肉类分割区</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7</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w:t>
            </w:r>
            <w:r>
              <w:rPr>
                <w:rFonts w:hint="eastAsia"/>
                <w:sz w:val="24"/>
                <w:szCs w:val="24"/>
                <w:highlight w:val="none"/>
                <w:lang w:val="en-US" w:eastAsia="zh-CN"/>
              </w:rPr>
              <w:t>加</w:t>
            </w:r>
            <w:r>
              <w:rPr>
                <w:rFonts w:hint="eastAsia"/>
                <w:sz w:val="24"/>
                <w:szCs w:val="24"/>
                <w:highlight w:val="none"/>
              </w:rPr>
              <w:t>工经营场所内配备蔬菜分拣加工区</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8</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w:t>
            </w:r>
            <w:r>
              <w:rPr>
                <w:rFonts w:hint="eastAsia"/>
                <w:sz w:val="24"/>
                <w:szCs w:val="24"/>
                <w:highlight w:val="none"/>
                <w:lang w:val="en-US" w:eastAsia="zh-CN"/>
              </w:rPr>
              <w:t>加</w:t>
            </w:r>
            <w:r>
              <w:rPr>
                <w:rFonts w:hint="eastAsia"/>
                <w:sz w:val="24"/>
                <w:szCs w:val="24"/>
                <w:highlight w:val="none"/>
              </w:rPr>
              <w:t>工经营场所内配备筐箱清洗消毒区</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eastAsia" w:asciiTheme="minorAscii" w:hAnsiTheme="minorAscii" w:eastAsiaTheme="minorEastAsia" w:cstheme="minorBidi"/>
                <w:kern w:val="2"/>
                <w:sz w:val="24"/>
                <w:szCs w:val="24"/>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9</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w:t>
            </w:r>
            <w:r>
              <w:rPr>
                <w:rFonts w:hint="eastAsia"/>
                <w:sz w:val="24"/>
                <w:szCs w:val="24"/>
                <w:highlight w:val="none"/>
                <w:lang w:val="en-US" w:eastAsia="zh-CN"/>
              </w:rPr>
              <w:t>加</w:t>
            </w:r>
            <w:r>
              <w:rPr>
                <w:rFonts w:hint="eastAsia"/>
                <w:sz w:val="24"/>
                <w:szCs w:val="24"/>
                <w:highlight w:val="none"/>
              </w:rPr>
              <w:t>工经营场所内配备办公区</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eastAsia" w:asciiTheme="minorAscii" w:hAnsiTheme="minorAscii" w:eastAsiaTheme="minorEastAsia" w:cstheme="minorBidi"/>
                <w:kern w:val="2"/>
                <w:sz w:val="24"/>
                <w:szCs w:val="24"/>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10</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w:t>
            </w:r>
            <w:r>
              <w:rPr>
                <w:rFonts w:hint="eastAsia"/>
                <w:sz w:val="24"/>
                <w:szCs w:val="24"/>
                <w:highlight w:val="none"/>
                <w:lang w:val="en-US" w:eastAsia="zh-CN"/>
              </w:rPr>
              <w:t>加</w:t>
            </w:r>
            <w:r>
              <w:rPr>
                <w:rFonts w:hint="eastAsia"/>
                <w:sz w:val="24"/>
                <w:szCs w:val="24"/>
                <w:highlight w:val="none"/>
              </w:rPr>
              <w:t>工经营场所内配备快检室</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11</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lang w:val="en-US" w:eastAsia="zh-CN"/>
              </w:rPr>
              <w:t>具备</w:t>
            </w:r>
            <w:r>
              <w:rPr>
                <w:rFonts w:hint="eastAsia"/>
                <w:sz w:val="24"/>
                <w:szCs w:val="24"/>
                <w:highlight w:val="none"/>
              </w:rPr>
              <w:t>专业</w:t>
            </w:r>
            <w:r>
              <w:rPr>
                <w:rFonts w:hint="eastAsia"/>
                <w:sz w:val="24"/>
                <w:szCs w:val="24"/>
                <w:highlight w:val="none"/>
                <w:lang w:val="en-US" w:eastAsia="zh-CN"/>
              </w:rPr>
              <w:t>农残</w:t>
            </w:r>
            <w:r>
              <w:rPr>
                <w:rFonts w:hint="eastAsia"/>
                <w:sz w:val="24"/>
                <w:szCs w:val="24"/>
                <w:highlight w:val="none"/>
              </w:rPr>
              <w:t>检测设备</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12</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lang w:val="en-US" w:eastAsia="zh-CN"/>
              </w:rPr>
              <w:t>检测人员能独立操作农残检测</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13</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荤菜冷冻和加工在同一场所</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14</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蔬菜冷藏、清洗和分拣在同一场所</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15</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asciiTheme="minorHAnsi" w:eastAsiaTheme="minorEastAsia"/>
                <w:sz w:val="24"/>
                <w:szCs w:val="24"/>
                <w:highlight w:val="none"/>
                <w:lang w:val="en-US" w:eastAsia="zh-CN"/>
              </w:rPr>
              <w:t>冷冻库和冷藏库</w:t>
            </w:r>
            <w:r>
              <w:rPr>
                <w:rFonts w:hint="eastAsia" w:asciiTheme="minorHAnsi"/>
                <w:sz w:val="24"/>
                <w:szCs w:val="24"/>
                <w:highlight w:val="none"/>
                <w:lang w:val="en-US" w:eastAsia="zh-CN"/>
              </w:rPr>
              <w:t>均</w:t>
            </w:r>
            <w:r>
              <w:rPr>
                <w:rFonts w:hint="eastAsia"/>
                <w:sz w:val="24"/>
                <w:szCs w:val="24"/>
                <w:highlight w:val="none"/>
                <w:lang w:val="en-US" w:eastAsia="zh-CN"/>
              </w:rPr>
              <w:t>能正常运行</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16</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lang w:val="en-US" w:eastAsia="zh-CN"/>
              </w:rPr>
              <w:t>增氧装置能正常运行</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7"/>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17</w:t>
            </w:r>
          </w:p>
        </w:tc>
        <w:tc>
          <w:tcPr>
            <w:tcW w:w="8347"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default"/>
                <w:sz w:val="24"/>
                <w:szCs w:val="24"/>
                <w:highlight w:val="none"/>
                <w:lang w:val="en-US" w:eastAsia="zh-CN"/>
              </w:rPr>
            </w:pPr>
            <w:r>
              <w:rPr>
                <w:rFonts w:hint="eastAsia"/>
                <w:sz w:val="24"/>
                <w:szCs w:val="24"/>
                <w:highlight w:val="none"/>
                <w:lang w:val="en-US" w:eastAsia="zh-CN"/>
              </w:rPr>
              <w:t>用于本项目的车辆为</w:t>
            </w:r>
            <w:r>
              <w:rPr>
                <w:rFonts w:hint="eastAsia"/>
                <w:sz w:val="24"/>
                <w:szCs w:val="24"/>
                <w:highlight w:val="none"/>
              </w:rPr>
              <w:t>带有冷藏功能的厢式货车</w:t>
            </w:r>
          </w:p>
        </w:tc>
        <w:tc>
          <w:tcPr>
            <w:tcW w:w="751" w:type="dxa"/>
            <w:vAlign w:val="center"/>
          </w:tcPr>
          <w:p>
            <w:pPr>
              <w:pStyle w:val="7"/>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bl>
    <w:p>
      <w:pPr>
        <w:pStyle w:val="7"/>
        <w:keepNext w:val="0"/>
        <w:keepLines w:val="0"/>
        <w:pageBreakBefore w:val="0"/>
        <w:widowControl w:val="0"/>
        <w:kinsoku/>
        <w:wordWrap/>
        <w:overflowPunct/>
        <w:topLinePunct w:val="0"/>
        <w:autoSpaceDE/>
        <w:autoSpaceDN/>
        <w:bidi w:val="0"/>
        <w:adjustRightInd/>
        <w:snapToGrid w:val="0"/>
        <w:spacing w:after="0" w:line="400" w:lineRule="exact"/>
        <w:textAlignment w:val="auto"/>
        <w:rPr>
          <w:rFonts w:hint="eastAsia" w:asciiTheme="minorHAnsi" w:eastAsiaTheme="minorEastAsia"/>
          <w:sz w:val="24"/>
          <w:szCs w:val="24"/>
          <w:highlight w:val="none"/>
          <w:lang w:val="en-US" w:eastAsia="zh-CN"/>
        </w:rPr>
      </w:pPr>
      <w:r>
        <w:rPr>
          <w:rFonts w:hint="eastAsia"/>
          <w:sz w:val="24"/>
          <w:szCs w:val="24"/>
          <w:highlight w:val="none"/>
          <w:lang w:val="en-US" w:eastAsia="zh-CN"/>
        </w:rPr>
        <w:t>注：1. 所有租赁合同的</w:t>
      </w:r>
      <w:r>
        <w:rPr>
          <w:rFonts w:hint="eastAsia" w:asciiTheme="minorHAnsi" w:eastAsiaTheme="minorEastAsia"/>
          <w:sz w:val="24"/>
          <w:szCs w:val="24"/>
          <w:highlight w:val="none"/>
          <w:lang w:val="en-US" w:eastAsia="zh-CN"/>
        </w:rPr>
        <w:t>租赁到期时间不得早于2024年8月1日</w:t>
      </w:r>
      <w:r>
        <w:rPr>
          <w:rFonts w:hint="eastAsia" w:asciiTheme="minorHAnsi"/>
          <w:sz w:val="24"/>
          <w:szCs w:val="24"/>
          <w:highlight w:val="none"/>
          <w:lang w:val="en-US" w:eastAsia="zh-CN"/>
        </w:rPr>
        <w:t>；</w:t>
      </w:r>
    </w:p>
    <w:p>
      <w:pPr>
        <w:pStyle w:val="7"/>
        <w:keepNext w:val="0"/>
        <w:keepLines w:val="0"/>
        <w:pageBreakBefore w:val="0"/>
        <w:widowControl w:val="0"/>
        <w:kinsoku/>
        <w:wordWrap/>
        <w:overflowPunct/>
        <w:topLinePunct w:val="0"/>
        <w:autoSpaceDE/>
        <w:autoSpaceDN/>
        <w:bidi w:val="0"/>
        <w:adjustRightInd/>
        <w:snapToGrid w:val="0"/>
        <w:spacing w:after="0" w:line="400" w:lineRule="exact"/>
        <w:ind w:firstLine="480" w:firstLineChars="200"/>
        <w:textAlignment w:val="auto"/>
        <w:rPr>
          <w:rFonts w:hint="eastAsia" w:cs="Times New Roman"/>
          <w:sz w:val="24"/>
          <w:szCs w:val="24"/>
          <w:highlight w:val="none"/>
          <w:lang w:val="en-US" w:eastAsia="zh-CN"/>
        </w:rPr>
      </w:pPr>
      <w:r>
        <w:rPr>
          <w:rFonts w:hint="eastAsia" w:asciiTheme="minorHAnsi"/>
          <w:sz w:val="24"/>
          <w:szCs w:val="24"/>
          <w:highlight w:val="none"/>
          <w:lang w:val="en-US" w:eastAsia="zh-CN"/>
        </w:rPr>
        <w:t>2. 审查</w:t>
      </w:r>
      <w:r>
        <w:rPr>
          <w:rFonts w:hint="eastAsia" w:cs="Times New Roman"/>
          <w:sz w:val="24"/>
          <w:szCs w:val="24"/>
          <w:highlight w:val="none"/>
          <w:lang w:val="en-US" w:eastAsia="zh-CN"/>
        </w:rPr>
        <w:t>结果满足要求的打“√”，不满足要求的打“×”；</w:t>
      </w:r>
    </w:p>
    <w:p>
      <w:pPr>
        <w:pStyle w:val="7"/>
        <w:keepNext w:val="0"/>
        <w:keepLines w:val="0"/>
        <w:pageBreakBefore w:val="0"/>
        <w:widowControl w:val="0"/>
        <w:kinsoku/>
        <w:wordWrap/>
        <w:overflowPunct/>
        <w:topLinePunct w:val="0"/>
        <w:autoSpaceDE/>
        <w:autoSpaceDN/>
        <w:bidi w:val="0"/>
        <w:adjustRightInd/>
        <w:snapToGrid w:val="0"/>
        <w:spacing w:after="0" w:line="400" w:lineRule="exact"/>
        <w:ind w:firstLine="480" w:firstLineChars="200"/>
        <w:textAlignment w:val="auto"/>
        <w:rPr>
          <w:rFonts w:hint="default" w:cs="Times New Roman"/>
          <w:sz w:val="24"/>
          <w:szCs w:val="24"/>
          <w:highlight w:val="none"/>
          <w:lang w:val="en-US" w:eastAsia="zh-CN"/>
        </w:rPr>
      </w:pPr>
      <w:r>
        <w:rPr>
          <w:rFonts w:hint="eastAsia" w:cs="Times New Roman"/>
          <w:sz w:val="24"/>
          <w:szCs w:val="24"/>
          <w:highlight w:val="none"/>
          <w:lang w:val="en-US" w:eastAsia="zh-CN"/>
        </w:rPr>
        <w:t>3. 有一条不满足即为资格审查不通过。</w:t>
      </w:r>
    </w:p>
    <w:p>
      <w:pPr>
        <w:pStyle w:val="7"/>
        <w:keepNext w:val="0"/>
        <w:keepLines w:val="0"/>
        <w:pageBreakBefore w:val="0"/>
        <w:widowControl w:val="0"/>
        <w:kinsoku/>
        <w:wordWrap/>
        <w:overflowPunct/>
        <w:topLinePunct w:val="0"/>
        <w:autoSpaceDE/>
        <w:autoSpaceDN/>
        <w:bidi w:val="0"/>
        <w:adjustRightInd/>
        <w:snapToGrid w:val="0"/>
        <w:spacing w:after="0" w:line="400" w:lineRule="exact"/>
        <w:ind w:firstLine="480" w:firstLineChars="200"/>
        <w:textAlignment w:val="auto"/>
        <w:rPr>
          <w:rFonts w:hint="default" w:cs="Times New Roman"/>
          <w:sz w:val="24"/>
          <w:szCs w:val="24"/>
          <w:highlight w:val="none"/>
          <w:lang w:val="en-US" w:eastAsia="zh-CN"/>
        </w:rPr>
      </w:pPr>
      <w:r>
        <w:rPr>
          <w:rFonts w:hint="eastAsia" w:cs="Times New Roman"/>
          <w:sz w:val="24"/>
          <w:szCs w:val="24"/>
          <w:highlight w:val="none"/>
          <w:lang w:val="en-US" w:eastAsia="zh-CN"/>
        </w:rPr>
        <w:t>4. 如</w:t>
      </w:r>
      <w:r>
        <w:rPr>
          <w:rFonts w:hint="eastAsia" w:ascii="Times New Roman" w:hAnsi="Times New Roman" w:eastAsia="宋体" w:cs="Times New Roman"/>
          <w:color w:val="000000"/>
          <w:sz w:val="24"/>
          <w:szCs w:val="24"/>
          <w:highlight w:val="none"/>
          <w:lang w:val="en-US" w:eastAsia="zh-CN"/>
        </w:rPr>
        <w:t>通过常州市教育局直属学校食堂食材采购配送资格前审的供应商</w:t>
      </w:r>
      <w:r>
        <w:rPr>
          <w:rFonts w:hint="eastAsia" w:ascii="Times New Roman" w:hAnsi="Times New Roman" w:cs="Times New Roman"/>
          <w:color w:val="000000"/>
          <w:sz w:val="24"/>
          <w:szCs w:val="24"/>
          <w:highlight w:val="none"/>
          <w:lang w:val="en-US" w:eastAsia="zh-CN"/>
        </w:rPr>
        <w:t>，将不再进行现场审核。</w:t>
      </w:r>
    </w:p>
    <w:p>
      <w:pPr>
        <w:pStyle w:val="7"/>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24"/>
          <w:highlight w:val="none"/>
          <w:u w:val="single"/>
          <w:lang w:val="en-US" w:eastAsia="zh-CN"/>
        </w:rPr>
      </w:pPr>
      <w:r>
        <w:rPr>
          <w:rFonts w:hint="eastAsia"/>
          <w:sz w:val="24"/>
          <w:szCs w:val="24"/>
          <w:highlight w:val="none"/>
        </w:rPr>
        <w:t>加工经营场所</w:t>
      </w:r>
      <w:r>
        <w:rPr>
          <w:rFonts w:hint="eastAsia"/>
          <w:sz w:val="24"/>
          <w:szCs w:val="24"/>
          <w:highlight w:val="none"/>
          <w:lang w:val="en-US" w:eastAsia="zh-CN"/>
        </w:rPr>
        <w:t>实测面积：</w:t>
      </w:r>
      <w:r>
        <w:rPr>
          <w:rFonts w:hint="eastAsia"/>
          <w:sz w:val="24"/>
          <w:szCs w:val="24"/>
          <w:highlight w:val="none"/>
          <w:u w:val="single"/>
          <w:lang w:val="en-US" w:eastAsia="zh-CN"/>
        </w:rPr>
        <w:t xml:space="preserve">               </w:t>
      </w:r>
      <w:r>
        <w:rPr>
          <w:rFonts w:hint="eastAsia"/>
          <w:sz w:val="24"/>
          <w:szCs w:val="24"/>
          <w:highlight w:val="none"/>
          <w:u w:val="none"/>
          <w:lang w:val="en-US" w:eastAsia="zh-CN"/>
        </w:rPr>
        <w:t>平方米   资格审查结论</w:t>
      </w:r>
      <w:r>
        <w:rPr>
          <w:rFonts w:hint="eastAsia"/>
          <w:sz w:val="24"/>
          <w:szCs w:val="24"/>
          <w:highlight w:val="none"/>
          <w:u w:val="single"/>
          <w:lang w:val="en-US" w:eastAsia="zh-CN"/>
        </w:rPr>
        <w:t xml:space="preserve">                 </w:t>
      </w:r>
    </w:p>
    <w:p>
      <w:pPr>
        <w:pStyle w:val="7"/>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24"/>
          <w:highlight w:val="none"/>
          <w:u w:val="none"/>
          <w:lang w:val="en-US" w:eastAsia="zh-CN"/>
        </w:rPr>
      </w:pPr>
      <w:r>
        <w:rPr>
          <w:rFonts w:hint="eastAsia"/>
          <w:sz w:val="24"/>
          <w:szCs w:val="24"/>
          <w:highlight w:val="none"/>
          <w:lang w:val="en-US" w:eastAsia="zh-CN"/>
        </w:rPr>
        <w:t>响应供应商授权代表确认签名</w:t>
      </w:r>
      <w:r>
        <w:rPr>
          <w:rFonts w:hint="eastAsia"/>
          <w:sz w:val="24"/>
          <w:szCs w:val="24"/>
          <w:highlight w:val="none"/>
          <w:u w:val="single"/>
          <w:lang w:val="en-US" w:eastAsia="zh-CN"/>
        </w:rPr>
        <w:t xml:space="preserve">                                                 </w:t>
      </w:r>
    </w:p>
    <w:p>
      <w:pPr>
        <w:pStyle w:val="7"/>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sz w:val="24"/>
          <w:szCs w:val="24"/>
          <w:highlight w:val="none"/>
          <w:u w:val="none"/>
          <w:lang w:val="en-US" w:eastAsia="zh-CN"/>
        </w:rPr>
      </w:pPr>
      <w:r>
        <w:rPr>
          <w:rFonts w:hint="eastAsia"/>
          <w:sz w:val="24"/>
          <w:szCs w:val="24"/>
          <w:highlight w:val="none"/>
          <w:u w:val="none"/>
          <w:lang w:val="en-US" w:eastAsia="zh-CN"/>
        </w:rPr>
        <w:t>资格审查小组评委签名</w:t>
      </w:r>
      <w:r>
        <w:rPr>
          <w:rFonts w:hint="eastAsia"/>
          <w:sz w:val="24"/>
          <w:szCs w:val="24"/>
          <w:highlight w:val="none"/>
          <w:u w:val="single"/>
          <w:lang w:val="en-US" w:eastAsia="zh-CN"/>
        </w:rPr>
        <w:t xml:space="preserve">                                                    </w:t>
      </w:r>
    </w:p>
    <w:p>
      <w:pPr>
        <w:pStyle w:val="7"/>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sz w:val="24"/>
          <w:szCs w:val="24"/>
          <w:highlight w:val="none"/>
          <w:lang w:val="en-US" w:eastAsia="zh-CN"/>
        </w:rPr>
      </w:pPr>
    </w:p>
    <w:p>
      <w:pPr>
        <w:pStyle w:val="7"/>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default"/>
          <w:sz w:val="24"/>
          <w:szCs w:val="24"/>
          <w:highlight w:val="none"/>
          <w:lang w:val="en-US" w:eastAsia="zh-CN"/>
        </w:rPr>
      </w:pPr>
      <w:r>
        <w:rPr>
          <w:rFonts w:hint="eastAsia"/>
          <w:sz w:val="24"/>
          <w:szCs w:val="24"/>
          <w:highlight w:val="none"/>
          <w:lang w:val="en-US" w:eastAsia="zh-CN"/>
        </w:rPr>
        <w:t>时间：</w:t>
      </w:r>
      <w:r>
        <w:rPr>
          <w:rFonts w:hint="eastAsia"/>
          <w:sz w:val="24"/>
          <w:szCs w:val="24"/>
          <w:highlight w:val="none"/>
          <w:u w:val="single"/>
          <w:lang w:val="en-US" w:eastAsia="zh-CN"/>
        </w:rPr>
        <w:t xml:space="preserve">        </w:t>
      </w:r>
      <w:r>
        <w:rPr>
          <w:rFonts w:hint="eastAsia"/>
          <w:sz w:val="24"/>
          <w:szCs w:val="24"/>
          <w:highlight w:val="none"/>
          <w:lang w:val="en-US" w:eastAsia="zh-CN"/>
        </w:rPr>
        <w:t>年</w:t>
      </w:r>
      <w:r>
        <w:rPr>
          <w:rFonts w:hint="eastAsia"/>
          <w:sz w:val="24"/>
          <w:szCs w:val="24"/>
          <w:highlight w:val="none"/>
          <w:u w:val="single"/>
          <w:lang w:val="en-US" w:eastAsia="zh-CN"/>
        </w:rPr>
        <w:t xml:space="preserve">    </w:t>
      </w:r>
      <w:r>
        <w:rPr>
          <w:rFonts w:hint="eastAsia"/>
          <w:sz w:val="24"/>
          <w:szCs w:val="24"/>
          <w:highlight w:val="none"/>
          <w:lang w:val="en-US" w:eastAsia="zh-CN"/>
        </w:rPr>
        <w:t>月</w:t>
      </w:r>
      <w:r>
        <w:rPr>
          <w:rFonts w:hint="eastAsia"/>
          <w:sz w:val="24"/>
          <w:szCs w:val="24"/>
          <w:highlight w:val="none"/>
          <w:u w:val="single"/>
          <w:lang w:val="en-US" w:eastAsia="zh-CN"/>
        </w:rPr>
        <w:t xml:space="preserve">    </w:t>
      </w:r>
      <w:r>
        <w:rPr>
          <w:rFonts w:hint="eastAsia"/>
          <w:sz w:val="24"/>
          <w:szCs w:val="24"/>
          <w:highlight w:val="none"/>
          <w:lang w:val="en-US" w:eastAsia="zh-CN"/>
        </w:rPr>
        <w:t>日</w:t>
      </w:r>
    </w:p>
    <w:p>
      <w:pPr>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br w:type="page"/>
      </w:r>
    </w:p>
    <w:p>
      <w:pPr>
        <w:pStyle w:val="2"/>
        <w:ind w:left="0" w:leftChars="0" w:firstLine="0" w:firstLineChars="0"/>
        <w:jc w:val="center"/>
        <w:outlineLvl w:val="0"/>
        <w:rPr>
          <w:rFonts w:hint="eastAsia" w:ascii="黑体" w:hAnsi="黑体" w:eastAsia="黑体" w:cs="黑体"/>
          <w:b/>
          <w:bCs/>
          <w:sz w:val="44"/>
          <w:szCs w:val="44"/>
          <w:highlight w:val="none"/>
          <w:lang w:val="en-US" w:eastAsia="zh-CN"/>
        </w:rPr>
      </w:pPr>
      <w:bookmarkStart w:id="30" w:name="_Toc9399"/>
      <w:r>
        <w:rPr>
          <w:rFonts w:hint="eastAsia" w:ascii="黑体" w:hAnsi="黑体" w:eastAsia="黑体" w:cs="黑体"/>
          <w:b/>
          <w:bCs/>
          <w:sz w:val="44"/>
          <w:szCs w:val="44"/>
          <w:highlight w:val="none"/>
          <w:lang w:val="en-US" w:eastAsia="zh-CN"/>
        </w:rPr>
        <w:t>第三章 评标办法</w:t>
      </w:r>
      <w:bookmarkEnd w:id="30"/>
    </w:p>
    <w:p>
      <w:pPr>
        <w:pStyle w:val="9"/>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hAnsi="宋体" w:cs="宋体"/>
          <w:sz w:val="24"/>
          <w:szCs w:val="24"/>
          <w:highlight w:val="none"/>
          <w:lang w:val="en-US" w:eastAsia="zh-CN"/>
        </w:rPr>
      </w:pPr>
      <w:r>
        <w:rPr>
          <w:rFonts w:hint="eastAsia" w:hAnsi="宋体" w:cs="宋体"/>
          <w:sz w:val="24"/>
          <w:szCs w:val="24"/>
          <w:highlight w:val="none"/>
          <w:lang w:val="en-US" w:eastAsia="zh-CN"/>
        </w:rPr>
        <w:t>本次有效响应文件的供应商数量为N：N≥17，按N－3家确定入围供应商；当N＜17，本项目废标。</w:t>
      </w:r>
    </w:p>
    <w:p>
      <w:pPr>
        <w:pStyle w:val="9"/>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hAnsi="宋体" w:cs="宋体"/>
          <w:sz w:val="24"/>
          <w:szCs w:val="24"/>
          <w:highlight w:val="none"/>
          <w:lang w:val="en-US" w:eastAsia="zh-CN"/>
        </w:rPr>
      </w:pPr>
      <w:r>
        <w:rPr>
          <w:rFonts w:hint="eastAsia" w:hAnsi="宋体" w:cs="宋体"/>
          <w:sz w:val="24"/>
          <w:szCs w:val="24"/>
          <w:highlight w:val="none"/>
          <w:lang w:val="en-US" w:eastAsia="zh-CN"/>
        </w:rPr>
        <w:t>磋商小组按评审后最终综合得分由高到低顺序排列；若综合得分得分相同的，按客观分得分由高到低顺序排列；若综合得分及客观分得分均相同，则按照主观分由高到低顺序排列。</w:t>
      </w:r>
    </w:p>
    <w:p>
      <w:pPr>
        <w:pStyle w:val="9"/>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hAnsi="宋体" w:cs="宋体"/>
          <w:sz w:val="24"/>
          <w:szCs w:val="24"/>
          <w:highlight w:val="none"/>
          <w:lang w:val="en-US" w:eastAsia="zh-CN"/>
        </w:rPr>
      </w:pPr>
      <w:r>
        <w:rPr>
          <w:rFonts w:hint="eastAsia" w:hAnsi="宋体" w:cs="宋体"/>
          <w:sz w:val="24"/>
          <w:szCs w:val="24"/>
          <w:highlight w:val="none"/>
          <w:lang w:val="en-US" w:eastAsia="zh-CN"/>
        </w:rPr>
        <w:t>本着公平、公正、公开的原则，对各供应商响应文件进行综合评分，具体办法如下：</w:t>
      </w:r>
    </w:p>
    <w:p>
      <w:pPr>
        <w:pStyle w:val="9"/>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hAnsi="宋体" w:cs="宋体"/>
          <w:sz w:val="24"/>
          <w:szCs w:val="24"/>
          <w:highlight w:val="none"/>
          <w:lang w:val="en-US" w:eastAsia="zh-CN"/>
        </w:rPr>
      </w:pPr>
      <w:r>
        <w:rPr>
          <w:rFonts w:hint="eastAsia" w:hAnsi="宋体" w:cs="宋体"/>
          <w:sz w:val="24"/>
          <w:szCs w:val="24"/>
          <w:highlight w:val="none"/>
          <w:lang w:val="en-US" w:eastAsia="zh-CN"/>
        </w:rPr>
        <w:t>一、进行符合性审查，确定有效响应文件</w:t>
      </w:r>
    </w:p>
    <w:p>
      <w:pPr>
        <w:pStyle w:val="9"/>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hAnsi="宋体" w:cs="宋体"/>
          <w:sz w:val="24"/>
          <w:szCs w:val="24"/>
          <w:highlight w:val="none"/>
          <w:lang w:val="en-US" w:eastAsia="zh-CN"/>
        </w:rPr>
      </w:pPr>
      <w:r>
        <w:rPr>
          <w:rFonts w:hint="eastAsia" w:hAnsi="宋体" w:cs="宋体"/>
          <w:sz w:val="24"/>
          <w:szCs w:val="24"/>
          <w:highlight w:val="none"/>
          <w:lang w:val="en-US" w:eastAsia="zh-CN"/>
        </w:rPr>
        <w:t>凡符合磋商文件、答疑纪要等有关招标实质性要求的响应文件均为有效响应文件。未能实质性响应上述有关磋商要求的响应文件为无效标。</w:t>
      </w:r>
    </w:p>
    <w:p>
      <w:pPr>
        <w:pStyle w:val="9"/>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480" w:firstLineChars="200"/>
        <w:textAlignment w:val="auto"/>
        <w:rPr>
          <w:rFonts w:hint="eastAsia" w:hAnsi="宋体" w:cs="宋体"/>
          <w:sz w:val="24"/>
          <w:szCs w:val="24"/>
          <w:highlight w:val="none"/>
          <w:lang w:val="en-US" w:eastAsia="zh-CN"/>
        </w:rPr>
      </w:pPr>
      <w:r>
        <w:rPr>
          <w:rFonts w:hint="eastAsia" w:hAnsi="宋体" w:cs="宋体"/>
          <w:sz w:val="24"/>
          <w:szCs w:val="24"/>
          <w:highlight w:val="none"/>
          <w:lang w:val="en-US" w:eastAsia="zh-CN"/>
        </w:rPr>
        <w:t>评标细则</w:t>
      </w:r>
    </w:p>
    <w:tbl>
      <w:tblPr>
        <w:tblStyle w:val="14"/>
        <w:tblW w:w="58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
        <w:gridCol w:w="1141"/>
        <w:gridCol w:w="803"/>
        <w:gridCol w:w="855"/>
        <w:gridCol w:w="6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3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hint="eastAsia" w:ascii="宋体" w:hAnsi="宋体" w:cs="宋体"/>
                <w:kern w:val="0"/>
                <w:sz w:val="24"/>
                <w:szCs w:val="24"/>
                <w:highlight w:val="none"/>
              </w:rPr>
              <w:t>序号</w:t>
            </w:r>
          </w:p>
        </w:tc>
        <w:tc>
          <w:tcPr>
            <w:tcW w:w="56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hint="eastAsia" w:ascii="宋体" w:hAnsi="宋体" w:cs="宋体"/>
                <w:kern w:val="0"/>
                <w:sz w:val="24"/>
                <w:szCs w:val="24"/>
                <w:highlight w:val="none"/>
              </w:rPr>
              <w:t>项目</w:t>
            </w:r>
          </w:p>
        </w:tc>
        <w:tc>
          <w:tcPr>
            <w:tcW w:w="400"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hint="eastAsia" w:ascii="宋体" w:hAnsi="宋体" w:cs="宋体"/>
                <w:kern w:val="0"/>
                <w:sz w:val="24"/>
                <w:szCs w:val="24"/>
                <w:highlight w:val="none"/>
              </w:rPr>
              <w:t>满分</w:t>
            </w: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hint="eastAsia" w:ascii="宋体" w:hAnsi="宋体" w:cs="宋体"/>
                <w:kern w:val="0"/>
                <w:sz w:val="24"/>
                <w:szCs w:val="24"/>
                <w:highlight w:val="none"/>
              </w:rPr>
              <w:t>子项满分</w:t>
            </w:r>
          </w:p>
        </w:tc>
        <w:tc>
          <w:tcPr>
            <w:tcW w:w="329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hint="eastAsia" w:ascii="宋体" w:hAnsi="宋体" w:cs="宋体"/>
                <w:kern w:val="0"/>
                <w:sz w:val="24"/>
                <w:szCs w:val="24"/>
                <w:highlight w:val="none"/>
              </w:rPr>
              <w:t>具   体   分   值   及   评   分   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3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hint="eastAsia" w:ascii="宋体" w:hAnsi="宋体" w:cs="宋体"/>
                <w:kern w:val="0"/>
                <w:sz w:val="24"/>
                <w:szCs w:val="24"/>
                <w:highlight w:val="none"/>
              </w:rPr>
              <w:t>1</w:t>
            </w:r>
          </w:p>
        </w:tc>
        <w:tc>
          <w:tcPr>
            <w:tcW w:w="56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hint="eastAsia" w:ascii="宋体" w:hAnsi="宋体" w:cs="宋体"/>
                <w:kern w:val="0"/>
                <w:sz w:val="24"/>
                <w:szCs w:val="24"/>
                <w:highlight w:val="none"/>
              </w:rPr>
              <w:t>价格分</w:t>
            </w:r>
          </w:p>
        </w:tc>
        <w:tc>
          <w:tcPr>
            <w:tcW w:w="400" w:type="pct"/>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宋体" w:hAnsi="宋体" w:cs="宋体"/>
                <w:kern w:val="0"/>
                <w:sz w:val="24"/>
                <w:szCs w:val="24"/>
                <w:highlight w:val="none"/>
              </w:rPr>
            </w:pPr>
            <w:r>
              <w:rPr>
                <w:rFonts w:ascii="宋体" w:hAnsi="宋体" w:cs="宋体"/>
                <w:kern w:val="0"/>
                <w:sz w:val="24"/>
                <w:szCs w:val="24"/>
                <w:highlight w:val="none"/>
              </w:rPr>
              <w:t>10</w:t>
            </w:r>
            <w:r>
              <w:rPr>
                <w:rFonts w:hint="eastAsia" w:ascii="宋体" w:hAnsi="宋体" w:cs="宋体"/>
                <w:kern w:val="0"/>
                <w:sz w:val="24"/>
                <w:szCs w:val="24"/>
                <w:highlight w:val="none"/>
              </w:rPr>
              <w:t>分</w:t>
            </w: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宋体" w:hAnsi="宋体" w:cs="宋体"/>
                <w:kern w:val="0"/>
                <w:sz w:val="24"/>
                <w:szCs w:val="24"/>
                <w:highlight w:val="none"/>
              </w:rPr>
            </w:pPr>
            <w:r>
              <w:rPr>
                <w:rFonts w:ascii="宋体" w:hAnsi="宋体" w:cs="宋体"/>
                <w:kern w:val="0"/>
                <w:sz w:val="24"/>
                <w:szCs w:val="24"/>
                <w:highlight w:val="none"/>
              </w:rPr>
              <w:t>10</w:t>
            </w:r>
            <w:r>
              <w:rPr>
                <w:rFonts w:hint="eastAsia" w:ascii="宋体" w:hAnsi="宋体" w:cs="宋体"/>
                <w:kern w:val="0"/>
                <w:sz w:val="24"/>
                <w:szCs w:val="24"/>
                <w:highlight w:val="none"/>
              </w:rPr>
              <w:t>分</w:t>
            </w:r>
          </w:p>
        </w:tc>
        <w:tc>
          <w:tcPr>
            <w:tcW w:w="3296" w:type="pct"/>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s="宋体"/>
                <w:kern w:val="0"/>
                <w:sz w:val="24"/>
                <w:szCs w:val="24"/>
                <w:highlight w:val="none"/>
              </w:rPr>
            </w:pPr>
            <w:r>
              <w:rPr>
                <w:rFonts w:hint="eastAsia" w:ascii="宋体" w:hAnsi="宋体" w:cs="宋体"/>
                <w:kern w:val="0"/>
                <w:sz w:val="24"/>
                <w:szCs w:val="24"/>
                <w:highlight w:val="none"/>
              </w:rPr>
              <w:t>供应商承诺每轮竞价时报价不高于当期最高限价*承诺折扣率，当期最高限价由相关部门经市场调研后提前公布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atLeast"/>
          <w:jc w:val="center"/>
        </w:trPr>
        <w:tc>
          <w:tcPr>
            <w:tcW w:w="308" w:type="pct"/>
            <w:tcBorders>
              <w:top w:val="single" w:color="auto" w:sz="4" w:space="0"/>
              <w:left w:val="single" w:color="auto" w:sz="4" w:space="0"/>
              <w:bottom w:val="single" w:color="auto" w:sz="4" w:space="0"/>
              <w:right w:val="single" w:color="auto" w:sz="4" w:space="0"/>
            </w:tcBorders>
            <w:noWrap w:val="0"/>
            <w:vAlign w:val="center"/>
          </w:tcPr>
          <w:p>
            <w:pPr>
              <w:overflowPunct w:val="0"/>
              <w:snapToGrid w:val="0"/>
              <w:spacing w:line="360" w:lineRule="auto"/>
              <w:jc w:val="center"/>
              <w:rPr>
                <w:rFonts w:ascii="宋体" w:hAnsi="宋体"/>
                <w:sz w:val="24"/>
                <w:szCs w:val="24"/>
                <w:highlight w:val="none"/>
              </w:rPr>
            </w:pPr>
            <w:r>
              <w:rPr>
                <w:rFonts w:hint="eastAsia" w:ascii="宋体" w:hAnsi="宋体"/>
                <w:sz w:val="24"/>
                <w:szCs w:val="24"/>
                <w:highlight w:val="none"/>
              </w:rPr>
              <w:t>2</w:t>
            </w:r>
          </w:p>
        </w:tc>
        <w:tc>
          <w:tcPr>
            <w:tcW w:w="568" w:type="pct"/>
            <w:vMerge w:val="restart"/>
            <w:tcBorders>
              <w:top w:val="single" w:color="auto" w:sz="4" w:space="0"/>
              <w:left w:val="single" w:color="auto" w:sz="4" w:space="0"/>
              <w:right w:val="single" w:color="auto" w:sz="4" w:space="0"/>
            </w:tcBorders>
            <w:noWrap w:val="0"/>
            <w:vAlign w:val="center"/>
          </w:tcPr>
          <w:p>
            <w:pPr>
              <w:overflowPunct w:val="0"/>
              <w:snapToGrid w:val="0"/>
              <w:spacing w:line="360" w:lineRule="auto"/>
              <w:jc w:val="center"/>
              <w:rPr>
                <w:rFonts w:ascii="宋体" w:hAnsi="宋体"/>
                <w:sz w:val="24"/>
                <w:szCs w:val="24"/>
                <w:highlight w:val="none"/>
              </w:rPr>
            </w:pPr>
            <w:r>
              <w:rPr>
                <w:rFonts w:hint="eastAsia" w:ascii="宋体" w:hAnsi="宋体"/>
                <w:sz w:val="24"/>
                <w:szCs w:val="24"/>
                <w:highlight w:val="none"/>
              </w:rPr>
              <w:t>客观分</w:t>
            </w:r>
          </w:p>
        </w:tc>
        <w:tc>
          <w:tcPr>
            <w:tcW w:w="400" w:type="pct"/>
            <w:vMerge w:val="restart"/>
            <w:tcBorders>
              <w:top w:val="single" w:color="auto" w:sz="4" w:space="0"/>
              <w:left w:val="single" w:color="auto" w:sz="4" w:space="0"/>
              <w:right w:val="single" w:color="auto" w:sz="4" w:space="0"/>
            </w:tcBorders>
            <w:noWrap w:val="0"/>
            <w:vAlign w:val="center"/>
          </w:tcPr>
          <w:p>
            <w:pPr>
              <w:overflowPunct w:val="0"/>
              <w:snapToGrid w:val="0"/>
              <w:spacing w:line="360" w:lineRule="auto"/>
              <w:rPr>
                <w:rFonts w:ascii="宋体" w:hAnsi="宋体"/>
                <w:sz w:val="24"/>
                <w:szCs w:val="24"/>
                <w:highlight w:val="none"/>
              </w:rPr>
            </w:pPr>
            <w:r>
              <w:rPr>
                <w:rFonts w:hint="eastAsia" w:ascii="宋体" w:hAnsi="宋体"/>
                <w:sz w:val="24"/>
                <w:szCs w:val="24"/>
                <w:highlight w:val="none"/>
              </w:rPr>
              <w:t>65分</w:t>
            </w:r>
          </w:p>
        </w:tc>
        <w:tc>
          <w:tcPr>
            <w:tcW w:w="426" w:type="pct"/>
            <w:tcBorders>
              <w:top w:val="single" w:color="auto" w:sz="4" w:space="0"/>
              <w:left w:val="single" w:color="auto" w:sz="4" w:space="0"/>
              <w:bottom w:val="single" w:color="auto" w:sz="4" w:space="0"/>
              <w:right w:val="single" w:color="auto" w:sz="4" w:space="0"/>
            </w:tcBorders>
            <w:noWrap w:val="0"/>
            <w:vAlign w:val="center"/>
          </w:tcPr>
          <w:p>
            <w:pPr>
              <w:overflowPunct w:val="0"/>
              <w:snapToGrid w:val="0"/>
              <w:spacing w:line="360" w:lineRule="auto"/>
              <w:jc w:val="center"/>
              <w:rPr>
                <w:rFonts w:ascii="宋体" w:hAnsi="宋体"/>
                <w:sz w:val="24"/>
                <w:szCs w:val="24"/>
                <w:highlight w:val="none"/>
              </w:rPr>
            </w:pPr>
            <w:r>
              <w:rPr>
                <w:rFonts w:ascii="宋体" w:hAnsi="宋体"/>
                <w:sz w:val="24"/>
                <w:szCs w:val="24"/>
                <w:highlight w:val="none"/>
              </w:rPr>
              <w:t>10</w:t>
            </w:r>
            <w:r>
              <w:rPr>
                <w:rFonts w:hint="eastAsia" w:ascii="宋体" w:hAnsi="宋体"/>
                <w:sz w:val="24"/>
                <w:szCs w:val="24"/>
                <w:highlight w:val="none"/>
              </w:rPr>
              <w:t>分</w:t>
            </w:r>
          </w:p>
        </w:tc>
        <w:tc>
          <w:tcPr>
            <w:tcW w:w="3296" w:type="pct"/>
            <w:tcBorders>
              <w:top w:val="single" w:color="auto" w:sz="4" w:space="0"/>
              <w:left w:val="single" w:color="auto" w:sz="4" w:space="0"/>
              <w:bottom w:val="single" w:color="auto" w:sz="4" w:space="0"/>
              <w:right w:val="single" w:color="auto" w:sz="4" w:space="0"/>
            </w:tcBorders>
            <w:noWrap w:val="0"/>
            <w:vAlign w:val="center"/>
          </w:tcPr>
          <w:p>
            <w:pPr>
              <w:pStyle w:val="18"/>
              <w:spacing w:line="266" w:lineRule="auto"/>
              <w:ind w:left="203" w:right="193"/>
              <w:rPr>
                <w:sz w:val="24"/>
                <w:szCs w:val="24"/>
                <w:highlight w:val="none"/>
                <w:lang w:eastAsia="zh-CN"/>
              </w:rPr>
            </w:pPr>
            <w:r>
              <w:rPr>
                <w:rFonts w:hint="eastAsia"/>
                <w:sz w:val="24"/>
                <w:szCs w:val="24"/>
                <w:highlight w:val="none"/>
                <w:lang w:eastAsia="zh-CN"/>
              </w:rPr>
              <w:t>1.体系认证</w:t>
            </w:r>
          </w:p>
          <w:p>
            <w:pPr>
              <w:pStyle w:val="18"/>
              <w:spacing w:before="15" w:line="266" w:lineRule="auto"/>
              <w:ind w:left="108" w:right="197"/>
              <w:rPr>
                <w:sz w:val="24"/>
                <w:szCs w:val="24"/>
                <w:highlight w:val="none"/>
                <w:lang w:eastAsia="zh-CN"/>
              </w:rPr>
            </w:pPr>
            <w:r>
              <w:rPr>
                <w:rFonts w:hint="eastAsia"/>
                <w:spacing w:val="26"/>
                <w:sz w:val="24"/>
                <w:szCs w:val="24"/>
                <w:highlight w:val="none"/>
                <w:lang w:eastAsia="zh-CN"/>
              </w:rPr>
              <w:t>具有</w:t>
            </w:r>
            <w:r>
              <w:rPr>
                <w:rFonts w:hint="eastAsia"/>
                <w:sz w:val="24"/>
                <w:szCs w:val="24"/>
                <w:highlight w:val="none"/>
                <w:lang w:eastAsia="zh-CN"/>
              </w:rPr>
              <w:t>ISO900</w:t>
            </w:r>
            <w:r>
              <w:rPr>
                <w:sz w:val="24"/>
                <w:szCs w:val="24"/>
                <w:highlight w:val="none"/>
                <w:lang w:eastAsia="zh-CN"/>
              </w:rPr>
              <w:t>1</w:t>
            </w:r>
            <w:r>
              <w:rPr>
                <w:rFonts w:hint="eastAsia"/>
                <w:spacing w:val="-5"/>
                <w:sz w:val="24"/>
                <w:szCs w:val="24"/>
                <w:highlight w:val="none"/>
                <w:lang w:eastAsia="zh-CN"/>
              </w:rPr>
              <w:t xml:space="preserve">质量管理体系认证的，得 </w:t>
            </w:r>
            <w:r>
              <w:rPr>
                <w:rFonts w:hint="eastAsia"/>
                <w:sz w:val="24"/>
                <w:szCs w:val="24"/>
                <w:highlight w:val="none"/>
                <w:lang w:eastAsia="zh-CN"/>
              </w:rPr>
              <w:t>2</w:t>
            </w:r>
            <w:r>
              <w:rPr>
                <w:rFonts w:hint="eastAsia"/>
                <w:spacing w:val="-4"/>
                <w:sz w:val="24"/>
                <w:szCs w:val="24"/>
                <w:highlight w:val="none"/>
                <w:lang w:eastAsia="zh-CN"/>
              </w:rPr>
              <w:t xml:space="preserve"> 分； </w:t>
            </w:r>
            <w:r>
              <w:rPr>
                <w:rFonts w:hint="eastAsia"/>
                <w:spacing w:val="24"/>
                <w:sz w:val="24"/>
                <w:szCs w:val="24"/>
                <w:highlight w:val="none"/>
                <w:lang w:eastAsia="zh-CN"/>
              </w:rPr>
              <w:t>具有</w:t>
            </w:r>
            <w:r>
              <w:rPr>
                <w:rFonts w:hint="eastAsia"/>
                <w:sz w:val="24"/>
                <w:szCs w:val="24"/>
                <w:highlight w:val="none"/>
                <w:lang w:eastAsia="zh-CN"/>
              </w:rPr>
              <w:t>ISO22000</w:t>
            </w:r>
            <w:r>
              <w:rPr>
                <w:rFonts w:hint="eastAsia"/>
                <w:spacing w:val="-12"/>
                <w:sz w:val="24"/>
                <w:szCs w:val="24"/>
                <w:highlight w:val="none"/>
                <w:lang w:eastAsia="zh-CN"/>
              </w:rPr>
              <w:t xml:space="preserve"> 食品安全管理体系认证的，得 </w:t>
            </w:r>
            <w:r>
              <w:rPr>
                <w:sz w:val="24"/>
                <w:szCs w:val="24"/>
                <w:highlight w:val="none"/>
                <w:lang w:eastAsia="zh-CN"/>
              </w:rPr>
              <w:t>3</w:t>
            </w:r>
            <w:r>
              <w:rPr>
                <w:rFonts w:hint="eastAsia"/>
                <w:spacing w:val="-16"/>
                <w:sz w:val="24"/>
                <w:szCs w:val="24"/>
                <w:highlight w:val="none"/>
                <w:lang w:eastAsia="zh-CN"/>
              </w:rPr>
              <w:t>分</w:t>
            </w:r>
            <w:r>
              <w:rPr>
                <w:rFonts w:hint="eastAsia"/>
                <w:sz w:val="24"/>
                <w:szCs w:val="24"/>
                <w:highlight w:val="none"/>
                <w:lang w:eastAsia="zh-CN"/>
              </w:rPr>
              <w:t>。</w:t>
            </w:r>
            <w:r>
              <w:rPr>
                <w:rFonts w:hint="eastAsia"/>
                <w:spacing w:val="16"/>
                <w:sz w:val="24"/>
                <w:szCs w:val="24"/>
                <w:highlight w:val="none"/>
                <w:lang w:eastAsia="zh-CN"/>
              </w:rPr>
              <w:t>具有</w:t>
            </w:r>
            <w:r>
              <w:rPr>
                <w:rFonts w:hint="eastAsia"/>
                <w:sz w:val="24"/>
                <w:szCs w:val="24"/>
                <w:highlight w:val="none"/>
                <w:lang w:eastAsia="zh-CN"/>
              </w:rPr>
              <w:t>ISO14001</w:t>
            </w:r>
            <w:r>
              <w:rPr>
                <w:rFonts w:hint="eastAsia"/>
                <w:spacing w:val="-13"/>
                <w:sz w:val="24"/>
                <w:szCs w:val="24"/>
                <w:highlight w:val="none"/>
                <w:lang w:eastAsia="zh-CN"/>
              </w:rPr>
              <w:t xml:space="preserve"> 环境管理体系认证的，得 </w:t>
            </w:r>
            <w:r>
              <w:rPr>
                <w:rFonts w:hint="eastAsia"/>
                <w:sz w:val="24"/>
                <w:szCs w:val="24"/>
                <w:highlight w:val="none"/>
                <w:lang w:eastAsia="zh-CN"/>
              </w:rPr>
              <w:t>2</w:t>
            </w:r>
            <w:r>
              <w:rPr>
                <w:rFonts w:hint="eastAsia"/>
                <w:spacing w:val="-20"/>
                <w:sz w:val="24"/>
                <w:szCs w:val="24"/>
                <w:highlight w:val="none"/>
                <w:lang w:eastAsia="zh-CN"/>
              </w:rPr>
              <w:t xml:space="preserve"> 分；</w:t>
            </w:r>
            <w:r>
              <w:rPr>
                <w:rFonts w:hint="eastAsia"/>
                <w:spacing w:val="26"/>
                <w:sz w:val="24"/>
                <w:szCs w:val="24"/>
                <w:highlight w:val="none"/>
                <w:lang w:eastAsia="zh-CN"/>
              </w:rPr>
              <w:t>具有</w:t>
            </w:r>
            <w:r>
              <w:rPr>
                <w:rFonts w:hint="eastAsia"/>
                <w:bCs/>
                <w:sz w:val="24"/>
                <w:szCs w:val="24"/>
                <w:highlight w:val="none"/>
                <w:lang w:eastAsia="zh-CN"/>
              </w:rPr>
              <w:t>OHSAS18001（或</w:t>
            </w:r>
            <w:r>
              <w:rPr>
                <w:bCs/>
                <w:sz w:val="24"/>
                <w:szCs w:val="24"/>
                <w:highlight w:val="none"/>
                <w:lang w:eastAsia="zh-CN"/>
              </w:rPr>
              <w:t>ISO45001</w:t>
            </w:r>
            <w:r>
              <w:rPr>
                <w:rFonts w:hint="eastAsia"/>
                <w:bCs/>
                <w:sz w:val="24"/>
                <w:szCs w:val="24"/>
                <w:highlight w:val="none"/>
                <w:lang w:eastAsia="zh-CN"/>
              </w:rPr>
              <w:t>）</w:t>
            </w:r>
            <w:r>
              <w:rPr>
                <w:rFonts w:hint="eastAsia"/>
                <w:spacing w:val="-13"/>
                <w:sz w:val="24"/>
                <w:szCs w:val="24"/>
                <w:highlight w:val="none"/>
                <w:lang w:eastAsia="zh-CN"/>
              </w:rPr>
              <w:t xml:space="preserve">职业健康安全管理体系认证的，得 </w:t>
            </w:r>
            <w:r>
              <w:rPr>
                <w:sz w:val="24"/>
                <w:szCs w:val="24"/>
                <w:highlight w:val="none"/>
                <w:lang w:eastAsia="zh-CN"/>
              </w:rPr>
              <w:t>3</w:t>
            </w:r>
            <w:r>
              <w:rPr>
                <w:rFonts w:hint="eastAsia"/>
                <w:spacing w:val="-19"/>
                <w:sz w:val="24"/>
                <w:szCs w:val="24"/>
                <w:highlight w:val="none"/>
                <w:lang w:eastAsia="zh-CN"/>
              </w:rPr>
              <w:t xml:space="preserve"> 分</w:t>
            </w:r>
            <w:r>
              <w:rPr>
                <w:rFonts w:hint="eastAsia"/>
                <w:sz w:val="24"/>
                <w:szCs w:val="24"/>
                <w:highlight w:val="none"/>
                <w:lang w:eastAsia="zh-CN"/>
              </w:rPr>
              <w:t>。</w:t>
            </w:r>
          </w:p>
          <w:p>
            <w:pPr>
              <w:widowControl/>
              <w:ind w:firstLine="240" w:firstLineChars="100"/>
              <w:jc w:val="left"/>
              <w:rPr>
                <w:rFonts w:ascii="宋体" w:hAnsi="宋体"/>
                <w:kern w:val="0"/>
                <w:sz w:val="24"/>
                <w:szCs w:val="24"/>
                <w:highlight w:val="none"/>
              </w:rPr>
            </w:pPr>
            <w:r>
              <w:rPr>
                <w:rFonts w:hint="eastAsia" w:ascii="宋体" w:hAnsi="宋体"/>
                <w:sz w:val="24"/>
                <w:szCs w:val="24"/>
                <w:highlight w:val="none"/>
              </w:rPr>
              <w:t>以上材料需提供复印件加盖投标单位公章</w:t>
            </w:r>
            <w:r>
              <w:rPr>
                <w:rFonts w:hint="eastAsia" w:ascii="宋体" w:hAnsi="宋体"/>
                <w:sz w:val="24"/>
                <w:szCs w:val="24"/>
                <w:highlight w:val="none"/>
                <w:lang w:eastAsia="zh-CN"/>
              </w:rPr>
              <w:t>，</w:t>
            </w:r>
            <w:r>
              <w:rPr>
                <w:rFonts w:hint="eastAsia" w:ascii="宋体" w:hAnsi="宋体"/>
                <w:b/>
                <w:bCs/>
                <w:sz w:val="24"/>
                <w:szCs w:val="24"/>
                <w:highlight w:val="none"/>
                <w:lang w:eastAsia="zh-CN"/>
              </w:rPr>
              <w:t>原件核查</w:t>
            </w:r>
            <w:r>
              <w:rPr>
                <w:rFonts w:hint="eastAsia" w:ascii="宋体" w:hAnsi="宋体"/>
                <w:sz w:val="24"/>
                <w:szCs w:val="24"/>
                <w:highlight w:val="none"/>
              </w:rPr>
              <w:t>，否则不得分。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6" w:hRule="atLeast"/>
          <w:jc w:val="center"/>
        </w:trPr>
        <w:tc>
          <w:tcPr>
            <w:tcW w:w="3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 w:val="24"/>
                <w:szCs w:val="24"/>
                <w:highlight w:val="none"/>
              </w:rPr>
            </w:pPr>
            <w:r>
              <w:rPr>
                <w:rFonts w:hint="eastAsia" w:ascii="宋体" w:hAnsi="宋体"/>
                <w:sz w:val="24"/>
                <w:szCs w:val="24"/>
                <w:highlight w:val="none"/>
              </w:rPr>
              <w:t>3</w:t>
            </w:r>
          </w:p>
        </w:tc>
        <w:tc>
          <w:tcPr>
            <w:tcW w:w="568"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00"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26" w:type="pct"/>
            <w:tcBorders>
              <w:top w:val="single" w:color="auto" w:sz="4" w:space="0"/>
              <w:left w:val="single" w:color="auto" w:sz="4" w:space="0"/>
              <w:bottom w:val="single" w:color="auto" w:sz="4" w:space="0"/>
              <w:right w:val="single" w:color="auto" w:sz="4" w:space="0"/>
            </w:tcBorders>
            <w:noWrap w:val="0"/>
            <w:vAlign w:val="center"/>
          </w:tcPr>
          <w:p>
            <w:pPr>
              <w:overflowPunct w:val="0"/>
              <w:snapToGrid w:val="0"/>
              <w:spacing w:line="360" w:lineRule="auto"/>
              <w:jc w:val="center"/>
              <w:rPr>
                <w:rFonts w:ascii="宋体" w:hAnsi="宋体"/>
                <w:sz w:val="24"/>
                <w:szCs w:val="24"/>
                <w:highlight w:val="none"/>
              </w:rPr>
            </w:pPr>
            <w:r>
              <w:rPr>
                <w:rFonts w:ascii="宋体" w:hAnsi="宋体"/>
                <w:sz w:val="24"/>
                <w:szCs w:val="24"/>
                <w:highlight w:val="none"/>
              </w:rPr>
              <w:t>7</w:t>
            </w:r>
            <w:r>
              <w:rPr>
                <w:rFonts w:hint="eastAsia" w:ascii="宋体" w:hAnsi="宋体"/>
                <w:sz w:val="24"/>
                <w:szCs w:val="24"/>
                <w:highlight w:val="none"/>
              </w:rPr>
              <w:t>分</w:t>
            </w:r>
          </w:p>
        </w:tc>
        <w:tc>
          <w:tcPr>
            <w:tcW w:w="3296" w:type="pct"/>
            <w:tcBorders>
              <w:top w:val="single" w:color="auto" w:sz="4" w:space="0"/>
              <w:left w:val="single" w:color="auto" w:sz="4" w:space="0"/>
              <w:bottom w:val="single" w:color="auto" w:sz="4" w:space="0"/>
              <w:right w:val="single" w:color="auto" w:sz="4" w:space="0"/>
            </w:tcBorders>
            <w:noWrap w:val="0"/>
            <w:vAlign w:val="center"/>
          </w:tcPr>
          <w:p>
            <w:pPr>
              <w:pStyle w:val="18"/>
              <w:rPr>
                <w:sz w:val="24"/>
                <w:szCs w:val="24"/>
                <w:highlight w:val="none"/>
                <w:lang w:eastAsia="zh-CN"/>
              </w:rPr>
            </w:pPr>
            <w:r>
              <w:rPr>
                <w:rFonts w:hint="eastAsia"/>
                <w:sz w:val="24"/>
                <w:szCs w:val="24"/>
                <w:highlight w:val="none"/>
                <w:lang w:eastAsia="zh-CN"/>
              </w:rPr>
              <w:t>2.企业荣誉</w:t>
            </w:r>
          </w:p>
          <w:p>
            <w:pPr>
              <w:widowControl/>
              <w:ind w:firstLine="484" w:firstLineChars="202"/>
              <w:jc w:val="left"/>
              <w:rPr>
                <w:rFonts w:ascii="宋体" w:hAnsi="宋体"/>
                <w:sz w:val="24"/>
                <w:szCs w:val="24"/>
                <w:highlight w:val="none"/>
              </w:rPr>
            </w:pPr>
            <w:r>
              <w:rPr>
                <w:rFonts w:hint="eastAsia" w:ascii="宋体" w:hAnsi="宋体"/>
                <w:sz w:val="24"/>
                <w:szCs w:val="24"/>
                <w:highlight w:val="none"/>
              </w:rPr>
              <w:t xml:space="preserve">（1）投标人本单位（不包括其上级母公司或控股公司等）获得 2020 年以来市级或以上行政部门表彰的，每项荣誉得 </w:t>
            </w:r>
            <w:r>
              <w:rPr>
                <w:rFonts w:ascii="宋体" w:hAnsi="宋体"/>
                <w:sz w:val="24"/>
                <w:szCs w:val="24"/>
                <w:highlight w:val="none"/>
              </w:rPr>
              <w:t>1</w:t>
            </w:r>
            <w:r>
              <w:rPr>
                <w:rFonts w:hint="eastAsia" w:ascii="宋体" w:hAnsi="宋体"/>
                <w:sz w:val="24"/>
                <w:szCs w:val="24"/>
                <w:highlight w:val="none"/>
              </w:rPr>
              <w:t xml:space="preserve"> 分，最高得4分。供应商须提供复印件加盖投标单位公章。</w:t>
            </w:r>
          </w:p>
          <w:p>
            <w:pPr>
              <w:widowControl/>
              <w:ind w:firstLine="484" w:firstLineChars="202"/>
              <w:jc w:val="left"/>
              <w:rPr>
                <w:rFonts w:ascii="宋体" w:hAnsi="宋体"/>
                <w:sz w:val="24"/>
                <w:szCs w:val="24"/>
                <w:highlight w:val="none"/>
              </w:rPr>
            </w:pPr>
            <w:r>
              <w:rPr>
                <w:rFonts w:hint="eastAsia" w:ascii="宋体" w:hAnsi="宋体"/>
                <w:sz w:val="24"/>
                <w:szCs w:val="24"/>
                <w:highlight w:val="none"/>
              </w:rPr>
              <w:t>（2）供应商提供以下防疫保供中材料的，每一份得1分，最高得3分。</w:t>
            </w:r>
          </w:p>
          <w:p>
            <w:pPr>
              <w:widowControl/>
              <w:ind w:firstLine="484" w:firstLineChars="202"/>
              <w:jc w:val="left"/>
              <w:rPr>
                <w:rFonts w:hint="eastAsia" w:ascii="宋体" w:hAnsi="宋体"/>
                <w:sz w:val="24"/>
                <w:szCs w:val="24"/>
                <w:highlight w:val="none"/>
              </w:rPr>
            </w:pPr>
            <w:r>
              <w:rPr>
                <w:rFonts w:hint="eastAsia" w:ascii="宋体" w:hAnsi="宋体"/>
                <w:sz w:val="24"/>
                <w:szCs w:val="24"/>
                <w:highlight w:val="none"/>
              </w:rPr>
              <w:t>防疫保供单位证明（防疫指挥部出具）或防疫保供协议（高校、街道及以上行政部门签署）或防疫保供感谢证书（防疫指挥部出具）</w:t>
            </w:r>
          </w:p>
          <w:p>
            <w:pPr>
              <w:widowControl/>
              <w:ind w:firstLine="484" w:firstLineChars="202"/>
              <w:jc w:val="left"/>
              <w:rPr>
                <w:rFonts w:hint="eastAsia" w:ascii="宋体" w:hAnsi="宋体"/>
                <w:sz w:val="24"/>
                <w:szCs w:val="24"/>
                <w:highlight w:val="none"/>
              </w:rPr>
            </w:pPr>
            <w:r>
              <w:rPr>
                <w:rFonts w:hint="eastAsia" w:ascii="宋体" w:hAnsi="宋体"/>
                <w:sz w:val="24"/>
                <w:szCs w:val="24"/>
                <w:highlight w:val="none"/>
              </w:rPr>
              <w:t>以上防疫保供材料必须提供对应的防疫保供结算票据复印件（加盖投标单位公章）</w:t>
            </w:r>
            <w:r>
              <w:rPr>
                <w:rFonts w:hint="eastAsia" w:ascii="宋体" w:hAnsi="宋体"/>
                <w:sz w:val="24"/>
                <w:szCs w:val="24"/>
                <w:highlight w:val="none"/>
                <w:lang w:eastAsia="zh-CN"/>
              </w:rPr>
              <w:t>，</w:t>
            </w:r>
            <w:r>
              <w:rPr>
                <w:rFonts w:hint="eastAsia" w:ascii="宋体" w:hAnsi="宋体"/>
                <w:b/>
                <w:bCs/>
                <w:sz w:val="24"/>
                <w:szCs w:val="24"/>
                <w:highlight w:val="none"/>
                <w:lang w:eastAsia="zh-CN"/>
              </w:rPr>
              <w:t>原件核查</w:t>
            </w:r>
            <w:r>
              <w:rPr>
                <w:rFonts w:hint="eastAsia" w:ascii="宋体" w:hAnsi="宋体"/>
                <w:sz w:val="24"/>
                <w:szCs w:val="24"/>
                <w:highlight w:val="none"/>
              </w:rPr>
              <w:t>，否则不得分。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3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 w:val="24"/>
                <w:szCs w:val="24"/>
                <w:highlight w:val="none"/>
              </w:rPr>
            </w:pPr>
            <w:r>
              <w:rPr>
                <w:rFonts w:hint="eastAsia" w:ascii="宋体" w:hAnsi="宋体"/>
                <w:sz w:val="24"/>
                <w:szCs w:val="24"/>
                <w:highlight w:val="none"/>
              </w:rPr>
              <w:t>4</w:t>
            </w:r>
          </w:p>
        </w:tc>
        <w:tc>
          <w:tcPr>
            <w:tcW w:w="568"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00"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ascii="宋体" w:hAnsi="宋体" w:cs="宋体"/>
                <w:kern w:val="0"/>
                <w:sz w:val="24"/>
                <w:szCs w:val="24"/>
                <w:highlight w:val="none"/>
              </w:rPr>
              <w:t>8</w:t>
            </w:r>
            <w:r>
              <w:rPr>
                <w:rFonts w:hint="eastAsia" w:ascii="宋体" w:hAnsi="宋体" w:cs="宋体"/>
                <w:kern w:val="0"/>
                <w:sz w:val="24"/>
                <w:szCs w:val="24"/>
                <w:highlight w:val="none"/>
              </w:rPr>
              <w:t>分</w:t>
            </w:r>
          </w:p>
        </w:tc>
        <w:tc>
          <w:tcPr>
            <w:tcW w:w="3296" w:type="pct"/>
            <w:tcBorders>
              <w:top w:val="single" w:color="auto" w:sz="4" w:space="0"/>
              <w:left w:val="single" w:color="auto" w:sz="4" w:space="0"/>
              <w:bottom w:val="single" w:color="auto" w:sz="4" w:space="0"/>
              <w:right w:val="single" w:color="auto" w:sz="4" w:space="0"/>
            </w:tcBorders>
            <w:noWrap w:val="0"/>
            <w:vAlign w:val="center"/>
          </w:tcPr>
          <w:p>
            <w:pPr>
              <w:spacing w:line="320" w:lineRule="exact"/>
              <w:jc w:val="left"/>
              <w:rPr>
                <w:rFonts w:ascii="宋体" w:hAnsi="宋体" w:cs="宋体"/>
                <w:sz w:val="24"/>
                <w:szCs w:val="24"/>
                <w:highlight w:val="none"/>
              </w:rPr>
            </w:pPr>
            <w:r>
              <w:rPr>
                <w:rFonts w:hint="eastAsia" w:ascii="宋体" w:hAnsi="宋体" w:cs="宋体"/>
                <w:sz w:val="24"/>
                <w:szCs w:val="24"/>
                <w:highlight w:val="none"/>
              </w:rPr>
              <w:t>1.服务业绩</w:t>
            </w:r>
          </w:p>
          <w:p>
            <w:pPr>
              <w:spacing w:line="320" w:lineRule="exact"/>
              <w:jc w:val="left"/>
              <w:rPr>
                <w:rFonts w:ascii="宋体" w:hAnsi="宋体" w:cs="宋体"/>
                <w:sz w:val="24"/>
                <w:szCs w:val="24"/>
                <w:highlight w:val="none"/>
              </w:rPr>
            </w:pPr>
            <w:r>
              <w:rPr>
                <w:rFonts w:hint="eastAsia" w:ascii="宋体" w:hAnsi="宋体" w:cs="宋体"/>
                <w:sz w:val="24"/>
                <w:szCs w:val="24"/>
                <w:highlight w:val="none"/>
              </w:rPr>
              <w:t>（1）2020年至今，供应商具有为超过</w:t>
            </w:r>
            <w:r>
              <w:rPr>
                <w:rFonts w:ascii="宋体" w:hAnsi="宋体" w:cs="宋体"/>
                <w:sz w:val="24"/>
                <w:szCs w:val="24"/>
                <w:highlight w:val="none"/>
              </w:rPr>
              <w:t>300</w:t>
            </w:r>
            <w:r>
              <w:rPr>
                <w:rFonts w:hint="eastAsia" w:ascii="宋体" w:hAnsi="宋体" w:cs="宋体"/>
                <w:sz w:val="24"/>
                <w:szCs w:val="24"/>
                <w:highlight w:val="none"/>
              </w:rPr>
              <w:t>人（含）就餐的食堂综合配送供货业绩，每有一个业绩得2分，最高得</w:t>
            </w:r>
            <w:r>
              <w:rPr>
                <w:rFonts w:ascii="宋体" w:hAnsi="宋体" w:cs="宋体"/>
                <w:sz w:val="24"/>
                <w:szCs w:val="24"/>
                <w:highlight w:val="none"/>
              </w:rPr>
              <w:t>8</w:t>
            </w:r>
            <w:r>
              <w:rPr>
                <w:rFonts w:hint="eastAsia" w:ascii="宋体" w:hAnsi="宋体" w:cs="宋体"/>
                <w:sz w:val="24"/>
                <w:szCs w:val="24"/>
                <w:highlight w:val="none"/>
              </w:rPr>
              <w:t>分。</w:t>
            </w:r>
          </w:p>
          <w:p>
            <w:pPr>
              <w:spacing w:line="320" w:lineRule="exact"/>
              <w:jc w:val="left"/>
              <w:rPr>
                <w:rFonts w:ascii="宋体" w:hAnsi="宋体" w:cs="宋体"/>
                <w:sz w:val="24"/>
                <w:szCs w:val="24"/>
                <w:highlight w:val="none"/>
              </w:rPr>
            </w:pPr>
            <w:r>
              <w:rPr>
                <w:rFonts w:hint="eastAsia" w:ascii="宋体" w:hAnsi="宋体" w:cs="宋体"/>
                <w:sz w:val="24"/>
                <w:szCs w:val="24"/>
                <w:highlight w:val="none"/>
              </w:rPr>
              <w:t>（2）2020年至今，供应商具有为超过</w:t>
            </w:r>
            <w:r>
              <w:rPr>
                <w:rFonts w:ascii="宋体" w:hAnsi="宋体" w:cs="宋体"/>
                <w:sz w:val="24"/>
                <w:szCs w:val="24"/>
                <w:highlight w:val="none"/>
              </w:rPr>
              <w:t>100</w:t>
            </w:r>
            <w:r>
              <w:rPr>
                <w:rFonts w:hint="eastAsia" w:ascii="宋体" w:hAnsi="宋体" w:cs="宋体"/>
                <w:sz w:val="24"/>
                <w:szCs w:val="24"/>
                <w:highlight w:val="none"/>
              </w:rPr>
              <w:t>人（含）就餐的食堂综合配送供货业绩，每有一个业绩得1分，最高得8分。</w:t>
            </w:r>
          </w:p>
          <w:p>
            <w:pPr>
              <w:pStyle w:val="19"/>
              <w:rPr>
                <w:rFonts w:hAnsi="宋体"/>
                <w:color w:val="auto"/>
                <w:sz w:val="24"/>
                <w:szCs w:val="24"/>
                <w:highlight w:val="none"/>
              </w:rPr>
            </w:pPr>
            <w:r>
              <w:rPr>
                <w:rFonts w:hAnsi="宋体"/>
                <w:color w:val="auto"/>
                <w:sz w:val="24"/>
                <w:szCs w:val="24"/>
                <w:highlight w:val="none"/>
              </w:rPr>
              <w:t>本项累计最高得</w:t>
            </w:r>
            <w:r>
              <w:rPr>
                <w:rFonts w:hint="eastAsia" w:hAnsi="宋体"/>
                <w:color w:val="auto"/>
                <w:sz w:val="24"/>
                <w:szCs w:val="24"/>
                <w:highlight w:val="none"/>
                <w:lang w:val="en-US" w:eastAsia="zh-CN"/>
              </w:rPr>
              <w:t>8</w:t>
            </w:r>
            <w:r>
              <w:rPr>
                <w:rFonts w:hAnsi="宋体"/>
                <w:color w:val="auto"/>
                <w:sz w:val="24"/>
                <w:szCs w:val="24"/>
                <w:highlight w:val="none"/>
              </w:rPr>
              <w:t>分。</w:t>
            </w:r>
          </w:p>
          <w:p>
            <w:pPr>
              <w:spacing w:line="320" w:lineRule="exact"/>
              <w:jc w:val="left"/>
              <w:rPr>
                <w:rFonts w:ascii="宋体" w:hAnsi="宋体" w:cs="宋体"/>
                <w:sz w:val="24"/>
                <w:szCs w:val="24"/>
                <w:highlight w:val="none"/>
              </w:rPr>
            </w:pPr>
            <w:r>
              <w:rPr>
                <w:rFonts w:hint="eastAsia" w:ascii="宋体" w:hAnsi="宋体" w:cs="宋体"/>
                <w:sz w:val="24"/>
                <w:szCs w:val="24"/>
                <w:highlight w:val="none"/>
              </w:rPr>
              <w:t>注：</w:t>
            </w:r>
          </w:p>
          <w:p>
            <w:pPr>
              <w:spacing w:line="320" w:lineRule="exact"/>
              <w:jc w:val="left"/>
              <w:rPr>
                <w:rFonts w:ascii="宋体" w:hAnsi="宋体" w:cs="宋体"/>
                <w:sz w:val="24"/>
                <w:szCs w:val="24"/>
                <w:highlight w:val="none"/>
              </w:rPr>
            </w:pPr>
            <w:r>
              <w:rPr>
                <w:rFonts w:ascii="宋体" w:hAnsi="宋体" w:cs="宋体"/>
                <w:sz w:val="24"/>
                <w:szCs w:val="24"/>
                <w:highlight w:val="none"/>
              </w:rPr>
              <w:t xml:space="preserve">1. </w:t>
            </w:r>
            <w:r>
              <w:rPr>
                <w:rFonts w:hint="eastAsia" w:ascii="宋体" w:hAnsi="宋体" w:cs="宋体"/>
                <w:sz w:val="24"/>
                <w:szCs w:val="24"/>
                <w:highlight w:val="none"/>
              </w:rPr>
              <w:t>以上2类业绩可重复累计；</w:t>
            </w:r>
          </w:p>
          <w:p>
            <w:pPr>
              <w:widowControl/>
              <w:jc w:val="left"/>
              <w:rPr>
                <w:rFonts w:ascii="宋体" w:hAnsi="宋体" w:cs="宋体"/>
                <w:kern w:val="0"/>
                <w:sz w:val="24"/>
                <w:szCs w:val="24"/>
                <w:highlight w:val="none"/>
              </w:rPr>
            </w:pPr>
            <w:r>
              <w:rPr>
                <w:rFonts w:ascii="宋体" w:hAnsi="宋体" w:cs="宋体"/>
                <w:sz w:val="24"/>
                <w:szCs w:val="24"/>
                <w:highlight w:val="none"/>
              </w:rPr>
              <w:t xml:space="preserve">2. </w:t>
            </w:r>
            <w:r>
              <w:rPr>
                <w:rFonts w:hint="eastAsia" w:ascii="宋体" w:hAnsi="宋体" w:cs="宋体"/>
                <w:sz w:val="24"/>
                <w:szCs w:val="24"/>
                <w:highlight w:val="none"/>
              </w:rPr>
              <w:t>须提供合同、结算发票复印件、甲方书面证明材料，证明材料中需标明食堂就餐人数。原件</w:t>
            </w:r>
            <w:r>
              <w:rPr>
                <w:rFonts w:hint="eastAsia" w:ascii="宋体" w:hAnsi="宋体" w:cs="宋体"/>
                <w:sz w:val="24"/>
                <w:szCs w:val="24"/>
                <w:highlight w:val="none"/>
                <w:lang w:eastAsia="zh-CN"/>
              </w:rPr>
              <w:t>核查</w:t>
            </w:r>
            <w:r>
              <w:rPr>
                <w:rFonts w:hint="eastAsia" w:ascii="宋体" w:hAnsi="宋体"/>
                <w:sz w:val="24"/>
                <w:szCs w:val="24"/>
                <w:highlight w:val="none"/>
              </w:rPr>
              <w:t>，否则不得分</w:t>
            </w:r>
            <w:r>
              <w:rPr>
                <w:rFonts w:hint="eastAsia" w:ascii="宋体" w:hAnsi="宋体" w:cs="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3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 w:val="24"/>
                <w:szCs w:val="24"/>
                <w:highlight w:val="none"/>
              </w:rPr>
            </w:pPr>
            <w:r>
              <w:rPr>
                <w:rFonts w:hint="eastAsia" w:ascii="宋体" w:hAnsi="宋体"/>
                <w:sz w:val="24"/>
                <w:szCs w:val="24"/>
                <w:highlight w:val="none"/>
              </w:rPr>
              <w:t>5</w:t>
            </w:r>
          </w:p>
        </w:tc>
        <w:tc>
          <w:tcPr>
            <w:tcW w:w="568"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00"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hint="eastAsia" w:ascii="宋体" w:hAnsi="宋体" w:cs="宋体"/>
                <w:kern w:val="0"/>
                <w:sz w:val="24"/>
                <w:szCs w:val="24"/>
                <w:highlight w:val="none"/>
              </w:rPr>
              <w:t>5分</w:t>
            </w:r>
          </w:p>
        </w:tc>
        <w:tc>
          <w:tcPr>
            <w:tcW w:w="3296"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highlight w:val="none"/>
              </w:rPr>
            </w:pPr>
            <w:r>
              <w:rPr>
                <w:rFonts w:hint="eastAsia" w:ascii="宋体" w:hAnsi="宋体" w:cs="宋体"/>
                <w:sz w:val="24"/>
                <w:szCs w:val="24"/>
                <w:highlight w:val="none"/>
              </w:rPr>
              <w:t>项目负责人：供应商针对本项目拟派的项目负责人有一年以上食品行业经验且在本公司工作一年以上的，</w:t>
            </w:r>
            <w:bookmarkStart w:id="31" w:name="_Hlk75769574"/>
            <w:r>
              <w:rPr>
                <w:rFonts w:hint="eastAsia" w:ascii="宋体" w:hAnsi="宋体" w:cs="宋体"/>
                <w:sz w:val="24"/>
                <w:szCs w:val="24"/>
                <w:highlight w:val="none"/>
              </w:rPr>
              <w:t>并承诺项目负责人在本项目协议供货期内不得更换</w:t>
            </w:r>
            <w:bookmarkEnd w:id="31"/>
            <w:r>
              <w:rPr>
                <w:rFonts w:hint="eastAsia" w:ascii="宋体" w:hAnsi="宋体" w:cs="宋体"/>
                <w:sz w:val="24"/>
                <w:szCs w:val="24"/>
                <w:highlight w:val="none"/>
              </w:rPr>
              <w:t>。完全满足要求的得5分，否则不得分。（提供人员简历、近三个月社保缴纳证明以及承诺，材料不全则本项不得分</w:t>
            </w:r>
            <w:r>
              <w:rPr>
                <w:rFonts w:hint="eastAsia" w:ascii="宋体" w:hAnsi="宋体" w:cs="宋体"/>
                <w:sz w:val="24"/>
                <w:szCs w:val="24"/>
                <w:highlight w:val="none"/>
                <w:lang w:eastAsia="zh-CN"/>
              </w:rPr>
              <w:t>，</w:t>
            </w:r>
            <w:r>
              <w:rPr>
                <w:rFonts w:hint="eastAsia" w:ascii="宋体" w:hAnsi="宋体" w:cs="宋体"/>
                <w:b/>
                <w:bCs/>
                <w:sz w:val="24"/>
                <w:szCs w:val="24"/>
                <w:highlight w:val="none"/>
                <w:lang w:eastAsia="zh-CN"/>
              </w:rPr>
              <w:t>原件核查</w:t>
            </w:r>
            <w:r>
              <w:rPr>
                <w:rFonts w:hint="eastAsia" w:ascii="宋体" w:hAnsi="宋体"/>
                <w:sz w:val="24"/>
                <w:szCs w:val="24"/>
                <w:highlight w:val="none"/>
              </w:rPr>
              <w:t>，否则不得分</w:t>
            </w:r>
            <w:r>
              <w:rPr>
                <w:rFonts w:hint="eastAsia" w:ascii="宋体" w:hAnsi="宋体" w:cs="宋体"/>
                <w:sz w:val="24"/>
                <w:szCs w:val="24"/>
                <w:highlight w:val="none"/>
                <w:lang w:eastAsia="zh-CN"/>
              </w:rPr>
              <w:t>。</w:t>
            </w:r>
            <w:r>
              <w:rPr>
                <w:rFonts w:hint="eastAsia" w:ascii="宋体" w:hAnsi="宋体" w:cs="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jc w:val="center"/>
        </w:trPr>
        <w:tc>
          <w:tcPr>
            <w:tcW w:w="3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 w:val="24"/>
                <w:szCs w:val="24"/>
                <w:highlight w:val="none"/>
              </w:rPr>
            </w:pPr>
            <w:r>
              <w:rPr>
                <w:rFonts w:hint="eastAsia" w:ascii="宋体" w:hAnsi="宋体"/>
                <w:sz w:val="24"/>
                <w:szCs w:val="24"/>
                <w:highlight w:val="none"/>
              </w:rPr>
              <w:t>6</w:t>
            </w:r>
          </w:p>
        </w:tc>
        <w:tc>
          <w:tcPr>
            <w:tcW w:w="568"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00"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ascii="宋体" w:hAnsi="宋体" w:cs="宋体"/>
                <w:kern w:val="0"/>
                <w:sz w:val="24"/>
                <w:szCs w:val="24"/>
                <w:highlight w:val="none"/>
              </w:rPr>
              <w:t>5</w:t>
            </w:r>
            <w:r>
              <w:rPr>
                <w:rFonts w:hint="eastAsia" w:ascii="宋体" w:hAnsi="宋体" w:cs="宋体"/>
                <w:kern w:val="0"/>
                <w:sz w:val="24"/>
                <w:szCs w:val="24"/>
                <w:highlight w:val="none"/>
              </w:rPr>
              <w:t>分</w:t>
            </w:r>
          </w:p>
        </w:tc>
        <w:tc>
          <w:tcPr>
            <w:tcW w:w="3296" w:type="pct"/>
            <w:tcBorders>
              <w:top w:val="single" w:color="auto" w:sz="4" w:space="0"/>
              <w:left w:val="single" w:color="auto" w:sz="4" w:space="0"/>
              <w:bottom w:val="single" w:color="auto" w:sz="4" w:space="0"/>
              <w:right w:val="single" w:color="auto" w:sz="4" w:space="0"/>
            </w:tcBorders>
            <w:noWrap w:val="0"/>
            <w:vAlign w:val="center"/>
          </w:tcPr>
          <w:p>
            <w:pPr>
              <w:spacing w:line="320" w:lineRule="exact"/>
              <w:jc w:val="left"/>
              <w:rPr>
                <w:rFonts w:ascii="宋体" w:hAnsi="宋体" w:cs="宋体"/>
                <w:sz w:val="24"/>
                <w:szCs w:val="24"/>
                <w:highlight w:val="none"/>
              </w:rPr>
            </w:pPr>
            <w:r>
              <w:rPr>
                <w:rFonts w:hint="eastAsia" w:ascii="宋体" w:hAnsi="宋体" w:cs="宋体"/>
                <w:sz w:val="24"/>
                <w:szCs w:val="24"/>
                <w:highlight w:val="none"/>
              </w:rPr>
              <w:t>其他项目服务人员：</w:t>
            </w:r>
          </w:p>
          <w:p>
            <w:pPr>
              <w:widowControl/>
              <w:jc w:val="left"/>
              <w:rPr>
                <w:rFonts w:ascii="宋体" w:hAnsi="宋体" w:cs="宋体"/>
                <w:kern w:val="0"/>
                <w:sz w:val="24"/>
                <w:szCs w:val="24"/>
                <w:highlight w:val="none"/>
              </w:rPr>
            </w:pPr>
            <w:r>
              <w:rPr>
                <w:rFonts w:hint="eastAsia" w:ascii="宋体" w:hAnsi="宋体" w:cs="宋体"/>
                <w:sz w:val="24"/>
                <w:szCs w:val="24"/>
                <w:highlight w:val="none"/>
              </w:rPr>
              <w:t>供应商针对本项目拟派的其他服务人员从事食材配送工作一年以上且在本公司工作满3个月的，有1人得1分，最高得5分。（提供每个人员的简历、近三个月社保缴纳证明，材料不全则不得分</w:t>
            </w:r>
            <w:r>
              <w:rPr>
                <w:rFonts w:hint="eastAsia" w:ascii="宋体" w:hAnsi="宋体" w:cs="宋体"/>
                <w:sz w:val="24"/>
                <w:szCs w:val="24"/>
                <w:highlight w:val="none"/>
                <w:lang w:eastAsia="zh-CN"/>
              </w:rPr>
              <w:t>，原件核查</w:t>
            </w:r>
            <w:r>
              <w:rPr>
                <w:rFonts w:hint="eastAsia" w:ascii="宋体" w:hAnsi="宋体"/>
                <w:sz w:val="24"/>
                <w:szCs w:val="24"/>
                <w:highlight w:val="none"/>
              </w:rPr>
              <w:t>，否则不得分</w:t>
            </w:r>
            <w:r>
              <w:rPr>
                <w:rFonts w:hint="eastAsia" w:ascii="宋体" w:hAnsi="宋体" w:cs="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1" w:hRule="atLeast"/>
          <w:jc w:val="center"/>
        </w:trPr>
        <w:tc>
          <w:tcPr>
            <w:tcW w:w="3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 w:val="24"/>
                <w:szCs w:val="24"/>
                <w:highlight w:val="none"/>
              </w:rPr>
            </w:pPr>
            <w:r>
              <w:rPr>
                <w:rFonts w:hint="eastAsia" w:ascii="宋体" w:hAnsi="宋体"/>
                <w:sz w:val="24"/>
                <w:szCs w:val="24"/>
                <w:highlight w:val="none"/>
              </w:rPr>
              <w:t>7</w:t>
            </w:r>
          </w:p>
        </w:tc>
        <w:tc>
          <w:tcPr>
            <w:tcW w:w="568"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00"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hint="eastAsia" w:ascii="宋体" w:hAnsi="宋体" w:cs="宋体"/>
                <w:kern w:val="0"/>
                <w:sz w:val="24"/>
                <w:szCs w:val="24"/>
                <w:highlight w:val="none"/>
              </w:rPr>
              <w:t>6分</w:t>
            </w:r>
          </w:p>
        </w:tc>
        <w:tc>
          <w:tcPr>
            <w:tcW w:w="3296"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sz w:val="24"/>
                <w:szCs w:val="24"/>
                <w:highlight w:val="none"/>
              </w:rPr>
            </w:pPr>
            <w:r>
              <w:rPr>
                <w:rFonts w:hint="eastAsia" w:ascii="宋体" w:hAnsi="宋体" w:cs="宋体"/>
                <w:color w:val="auto"/>
                <w:sz w:val="24"/>
                <w:szCs w:val="24"/>
                <w:highlight w:val="none"/>
              </w:rPr>
              <w:t>供应商自有或租赁的用于本项目的加工经营场所，须提供自有场地证明（如房产证，登记名称与投标人名称必须一致）或者租赁协议（含近1次房租缴纳的发票），由评标小组根据提供的材料对供应商的规模进行综合评定，加工经营场所面积大于1500平方米得6分，加工经营场所面积大于1000平方米且小于等于1500平方米得4分，加工经营场所面积大于500平方米且小于等于1000平方米得2分。</w:t>
            </w:r>
          </w:p>
          <w:p>
            <w:pPr>
              <w:widowControl/>
              <w:jc w:val="left"/>
              <w:rPr>
                <w:rFonts w:hint="eastAsia" w:ascii="宋体" w:hAnsi="宋体" w:eastAsia="宋体" w:cs="宋体"/>
                <w:color w:val="FF0000"/>
                <w:kern w:val="0"/>
                <w:sz w:val="24"/>
                <w:szCs w:val="24"/>
                <w:highlight w:val="none"/>
                <w:lang w:eastAsia="zh-CN"/>
              </w:rPr>
            </w:pPr>
            <w:r>
              <w:rPr>
                <w:rFonts w:hint="eastAsia" w:ascii="宋体" w:hAnsi="宋体" w:cs="宋体"/>
                <w:color w:val="auto"/>
                <w:sz w:val="24"/>
                <w:szCs w:val="24"/>
                <w:highlight w:val="none"/>
              </w:rPr>
              <w:t>未提供证明材料的不得分。</w:t>
            </w:r>
            <w:r>
              <w:rPr>
                <w:rFonts w:hint="eastAsia" w:ascii="宋体" w:hAnsi="宋体" w:cs="宋体"/>
                <w:b/>
                <w:bCs/>
                <w:color w:val="auto"/>
                <w:sz w:val="24"/>
                <w:szCs w:val="24"/>
                <w:highlight w:val="none"/>
                <w:lang w:eastAsia="zh-CN"/>
              </w:rPr>
              <w:t>原件核查</w:t>
            </w:r>
            <w:r>
              <w:rPr>
                <w:rFonts w:hint="eastAsia" w:ascii="宋体" w:hAnsi="宋体"/>
                <w:sz w:val="24"/>
                <w:szCs w:val="24"/>
                <w:highlight w:val="none"/>
              </w:rPr>
              <w:t>，否则不得分</w:t>
            </w:r>
            <w:r>
              <w:rPr>
                <w:rFonts w:hint="eastAsia" w:ascii="宋体" w:hAnsi="宋体" w:cs="宋体"/>
                <w:b/>
                <w:bCs/>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3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 w:val="24"/>
                <w:szCs w:val="24"/>
                <w:highlight w:val="none"/>
              </w:rPr>
            </w:pPr>
            <w:r>
              <w:rPr>
                <w:rFonts w:hint="eastAsia" w:ascii="宋体" w:hAnsi="宋体"/>
                <w:sz w:val="24"/>
                <w:szCs w:val="24"/>
                <w:highlight w:val="none"/>
              </w:rPr>
              <w:t>8</w:t>
            </w:r>
          </w:p>
        </w:tc>
        <w:tc>
          <w:tcPr>
            <w:tcW w:w="568"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00"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hint="eastAsia" w:ascii="宋体" w:hAnsi="宋体" w:cs="宋体"/>
                <w:kern w:val="0"/>
                <w:sz w:val="24"/>
                <w:szCs w:val="24"/>
                <w:highlight w:val="none"/>
              </w:rPr>
              <w:t>12分</w:t>
            </w:r>
          </w:p>
        </w:tc>
        <w:tc>
          <w:tcPr>
            <w:tcW w:w="3296"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供应商有一定规模的冷藏贮藏设备，须提供设备发票或租赁合同（租赁到期时间不早于</w:t>
            </w:r>
            <w:r>
              <w:rPr>
                <w:rFonts w:hint="eastAsia" w:ascii="宋体" w:hAnsi="宋体" w:cs="宋体"/>
                <w:sz w:val="24"/>
                <w:szCs w:val="24"/>
                <w:highlight w:val="none"/>
                <w:lang w:eastAsia="zh-CN"/>
              </w:rPr>
              <w:t>2024年8月1日</w:t>
            </w:r>
            <w:r>
              <w:rPr>
                <w:rFonts w:hint="eastAsia" w:ascii="宋体" w:hAnsi="宋体" w:cs="宋体"/>
                <w:sz w:val="24"/>
                <w:szCs w:val="24"/>
                <w:highlight w:val="none"/>
              </w:rPr>
              <w:t>），按冷藏贮藏容量从大到小排序，最大的得12分，以下按1分递减。</w:t>
            </w:r>
            <w:r>
              <w:rPr>
                <w:rFonts w:hint="eastAsia" w:ascii="宋体" w:hAnsi="宋体" w:cs="宋体"/>
                <w:b/>
                <w:bCs/>
                <w:sz w:val="24"/>
                <w:szCs w:val="24"/>
                <w:highlight w:val="none"/>
                <w:lang w:eastAsia="zh-CN"/>
              </w:rPr>
              <w:t>原件核查</w:t>
            </w:r>
            <w:r>
              <w:rPr>
                <w:rFonts w:hint="eastAsia" w:ascii="宋体" w:hAnsi="宋体"/>
                <w:sz w:val="24"/>
                <w:szCs w:val="24"/>
                <w:highlight w:val="none"/>
              </w:rPr>
              <w:t>，否则不得分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3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sz w:val="24"/>
                <w:szCs w:val="24"/>
                <w:highlight w:val="none"/>
                <w:lang w:val="en-US" w:eastAsia="zh-CN"/>
              </w:rPr>
            </w:pPr>
            <w:r>
              <w:rPr>
                <w:rFonts w:hint="eastAsia" w:ascii="宋体" w:hAnsi="宋体"/>
                <w:sz w:val="24"/>
                <w:szCs w:val="24"/>
                <w:highlight w:val="none"/>
                <w:lang w:val="en-US" w:eastAsia="zh-CN"/>
              </w:rPr>
              <w:t>9</w:t>
            </w:r>
          </w:p>
        </w:tc>
        <w:tc>
          <w:tcPr>
            <w:tcW w:w="568"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00"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hint="eastAsia" w:ascii="宋体" w:hAnsi="宋体" w:cs="宋体"/>
                <w:kern w:val="0"/>
                <w:sz w:val="24"/>
                <w:szCs w:val="24"/>
                <w:highlight w:val="none"/>
              </w:rPr>
              <w:t>3分</w:t>
            </w:r>
          </w:p>
        </w:tc>
        <w:tc>
          <w:tcPr>
            <w:tcW w:w="3296"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highlight w:val="none"/>
                <w:lang w:eastAsia="zh-CN"/>
              </w:rPr>
            </w:pPr>
            <w:r>
              <w:rPr>
                <w:rFonts w:hint="eastAsia" w:ascii="宋体" w:hAnsi="宋体" w:cs="宋体"/>
                <w:sz w:val="24"/>
                <w:szCs w:val="24"/>
                <w:highlight w:val="none"/>
              </w:rPr>
              <w:t>供应商江苏省内具有自有或合作的蔬菜基地，自有或合作蔬菜基地占地面积不低于300亩，得3分，须提供相关证明材料。</w:t>
            </w:r>
            <w:r>
              <w:rPr>
                <w:rFonts w:hint="eastAsia" w:ascii="宋体" w:hAnsi="宋体" w:cs="宋体"/>
                <w:b/>
                <w:bCs/>
                <w:sz w:val="24"/>
                <w:szCs w:val="24"/>
                <w:highlight w:val="none"/>
                <w:lang w:eastAsia="zh-CN"/>
              </w:rPr>
              <w:t>原件核查</w:t>
            </w:r>
            <w:r>
              <w:rPr>
                <w:rFonts w:hint="eastAsia" w:ascii="宋体" w:hAnsi="宋体"/>
                <w:sz w:val="24"/>
                <w:szCs w:val="24"/>
                <w:highlight w:val="none"/>
              </w:rPr>
              <w:t>，否则不得分</w:t>
            </w:r>
            <w:r>
              <w:rPr>
                <w:rFonts w:hint="eastAsia" w:ascii="宋体" w:hAnsi="宋体" w:cs="宋体"/>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jc w:val="center"/>
        </w:trPr>
        <w:tc>
          <w:tcPr>
            <w:tcW w:w="3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10</w:t>
            </w:r>
          </w:p>
        </w:tc>
        <w:tc>
          <w:tcPr>
            <w:tcW w:w="568"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00"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ascii="宋体" w:hAnsi="宋体" w:cs="宋体"/>
                <w:kern w:val="0"/>
                <w:sz w:val="24"/>
                <w:szCs w:val="24"/>
                <w:highlight w:val="none"/>
              </w:rPr>
              <w:t>9</w:t>
            </w:r>
            <w:r>
              <w:rPr>
                <w:rFonts w:hint="eastAsia" w:ascii="宋体" w:hAnsi="宋体" w:cs="宋体"/>
                <w:kern w:val="0"/>
                <w:sz w:val="24"/>
                <w:szCs w:val="24"/>
                <w:highlight w:val="none"/>
              </w:rPr>
              <w:t>分</w:t>
            </w:r>
          </w:p>
        </w:tc>
        <w:tc>
          <w:tcPr>
            <w:tcW w:w="3296"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highlight w:val="none"/>
                <w:lang w:eastAsia="zh-CN"/>
              </w:rPr>
            </w:pPr>
            <w:r>
              <w:rPr>
                <w:rFonts w:hint="eastAsia" w:ascii="宋体" w:hAnsi="宋体" w:cs="宋体"/>
                <w:sz w:val="24"/>
                <w:szCs w:val="24"/>
                <w:highlight w:val="none"/>
              </w:rPr>
              <w:t>供应商具备</w:t>
            </w:r>
            <w:r>
              <w:rPr>
                <w:rFonts w:hint="eastAsia" w:ascii="宋体" w:hAnsi="宋体" w:cs="宋体"/>
                <w:sz w:val="24"/>
                <w:szCs w:val="24"/>
                <w:highlight w:val="none"/>
                <w:lang w:eastAsia="zh-CN"/>
              </w:rPr>
              <w:t>自有</w:t>
            </w:r>
            <w:r>
              <w:rPr>
                <w:rFonts w:hint="eastAsia" w:ascii="宋体" w:hAnsi="宋体" w:cs="宋体"/>
                <w:sz w:val="24"/>
                <w:szCs w:val="24"/>
                <w:highlight w:val="none"/>
              </w:rPr>
              <w:t>多于</w:t>
            </w:r>
            <w:r>
              <w:rPr>
                <w:rFonts w:hint="eastAsia" w:ascii="宋体" w:hAnsi="宋体" w:cs="宋体"/>
                <w:sz w:val="24"/>
                <w:szCs w:val="24"/>
                <w:highlight w:val="none"/>
                <w:lang w:val="en-US" w:eastAsia="zh-CN"/>
              </w:rPr>
              <w:t>1</w:t>
            </w:r>
            <w:r>
              <w:rPr>
                <w:rFonts w:hint="eastAsia" w:ascii="宋体" w:hAnsi="宋体" w:cs="宋体"/>
                <w:sz w:val="24"/>
                <w:szCs w:val="24"/>
                <w:highlight w:val="none"/>
              </w:rPr>
              <w:t>辆带冷藏功能的厢式货车，须提供行驶证（行驶证是供应商公司名称登记的车辆），每多一辆得</w:t>
            </w:r>
            <w:r>
              <w:rPr>
                <w:rFonts w:ascii="宋体" w:hAnsi="宋体" w:cs="宋体"/>
                <w:sz w:val="24"/>
                <w:szCs w:val="24"/>
                <w:highlight w:val="none"/>
              </w:rPr>
              <w:t>3</w:t>
            </w:r>
            <w:r>
              <w:rPr>
                <w:rFonts w:hint="eastAsia" w:ascii="宋体" w:hAnsi="宋体" w:cs="宋体"/>
                <w:sz w:val="24"/>
                <w:szCs w:val="24"/>
                <w:highlight w:val="none"/>
              </w:rPr>
              <w:t>分，最高得</w:t>
            </w:r>
            <w:r>
              <w:rPr>
                <w:rFonts w:ascii="宋体" w:hAnsi="宋体" w:cs="宋体"/>
                <w:sz w:val="24"/>
                <w:szCs w:val="24"/>
                <w:highlight w:val="none"/>
              </w:rPr>
              <w:t>9</w:t>
            </w:r>
            <w:r>
              <w:rPr>
                <w:rFonts w:hint="eastAsia" w:ascii="宋体" w:hAnsi="宋体" w:cs="宋体"/>
                <w:sz w:val="24"/>
                <w:szCs w:val="24"/>
                <w:highlight w:val="none"/>
              </w:rPr>
              <w:t>分</w:t>
            </w:r>
            <w:r>
              <w:rPr>
                <w:rFonts w:hint="eastAsia" w:ascii="宋体" w:hAnsi="宋体" w:cs="宋体"/>
                <w:sz w:val="24"/>
                <w:szCs w:val="24"/>
                <w:highlight w:val="none"/>
                <w:lang w:eastAsia="zh-CN"/>
              </w:rPr>
              <w:t>。</w:t>
            </w:r>
            <w:r>
              <w:rPr>
                <w:rFonts w:hint="eastAsia" w:ascii="宋体" w:hAnsi="宋体" w:cs="宋体"/>
                <w:b/>
                <w:bCs/>
                <w:sz w:val="24"/>
                <w:szCs w:val="24"/>
                <w:highlight w:val="none"/>
                <w:lang w:eastAsia="zh-CN"/>
              </w:rPr>
              <w:t>原件核查，否则不得分。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jc w:val="center"/>
        </w:trPr>
        <w:tc>
          <w:tcPr>
            <w:tcW w:w="308" w:type="pct"/>
            <w:tcBorders>
              <w:top w:val="single" w:color="auto" w:sz="4" w:space="0"/>
              <w:left w:val="single" w:color="auto" w:sz="4" w:space="0"/>
              <w:bottom w:val="single" w:color="auto" w:sz="4" w:space="0"/>
              <w:right w:val="single" w:color="auto" w:sz="4" w:space="0"/>
            </w:tcBorders>
            <w:noWrap w:val="0"/>
            <w:vAlign w:val="center"/>
          </w:tcPr>
          <w:p>
            <w:pPr>
              <w:overflowPunct w:val="0"/>
              <w:snapToGrid w:val="0"/>
              <w:spacing w:line="360" w:lineRule="auto"/>
              <w:jc w:val="center"/>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11</w:t>
            </w:r>
          </w:p>
        </w:tc>
        <w:tc>
          <w:tcPr>
            <w:tcW w:w="568" w:type="pct"/>
            <w:vMerge w:val="restart"/>
            <w:tcBorders>
              <w:top w:val="single" w:color="auto" w:sz="4" w:space="0"/>
              <w:left w:val="single" w:color="auto" w:sz="4" w:space="0"/>
              <w:right w:val="single" w:color="auto" w:sz="4" w:space="0"/>
            </w:tcBorders>
            <w:noWrap w:val="0"/>
            <w:vAlign w:val="center"/>
          </w:tcPr>
          <w:p>
            <w:pPr>
              <w:overflowPunct w:val="0"/>
              <w:snapToGrid w:val="0"/>
              <w:spacing w:line="360" w:lineRule="auto"/>
              <w:jc w:val="center"/>
              <w:rPr>
                <w:rFonts w:ascii="宋体" w:hAnsi="宋体"/>
                <w:sz w:val="24"/>
                <w:szCs w:val="24"/>
                <w:highlight w:val="none"/>
              </w:rPr>
            </w:pPr>
            <w:r>
              <w:rPr>
                <w:rFonts w:hint="eastAsia" w:ascii="宋体" w:hAnsi="宋体"/>
                <w:sz w:val="24"/>
                <w:szCs w:val="24"/>
                <w:highlight w:val="none"/>
              </w:rPr>
              <w:t>主观分</w:t>
            </w:r>
          </w:p>
        </w:tc>
        <w:tc>
          <w:tcPr>
            <w:tcW w:w="400" w:type="pct"/>
            <w:vMerge w:val="restart"/>
            <w:tcBorders>
              <w:top w:val="single" w:color="auto" w:sz="4" w:space="0"/>
              <w:left w:val="single" w:color="auto" w:sz="4" w:space="0"/>
              <w:right w:val="single" w:color="auto" w:sz="4" w:space="0"/>
            </w:tcBorders>
            <w:noWrap w:val="0"/>
            <w:vAlign w:val="center"/>
          </w:tcPr>
          <w:p>
            <w:pPr>
              <w:overflowPunct w:val="0"/>
              <w:snapToGrid w:val="0"/>
              <w:spacing w:line="360" w:lineRule="auto"/>
              <w:jc w:val="center"/>
              <w:rPr>
                <w:rFonts w:ascii="宋体" w:hAnsi="宋体"/>
                <w:sz w:val="24"/>
                <w:szCs w:val="24"/>
                <w:highlight w:val="none"/>
              </w:rPr>
            </w:pPr>
            <w:r>
              <w:rPr>
                <w:rFonts w:hint="eastAsia" w:ascii="宋体" w:hAnsi="宋体"/>
                <w:sz w:val="24"/>
                <w:szCs w:val="24"/>
                <w:highlight w:val="none"/>
              </w:rPr>
              <w:t>25分</w:t>
            </w:r>
          </w:p>
        </w:tc>
        <w:tc>
          <w:tcPr>
            <w:tcW w:w="426" w:type="pct"/>
            <w:tcBorders>
              <w:top w:val="single" w:color="auto" w:sz="4" w:space="0"/>
              <w:left w:val="single" w:color="auto" w:sz="4" w:space="0"/>
              <w:bottom w:val="single" w:color="auto" w:sz="4" w:space="0"/>
              <w:right w:val="single" w:color="auto" w:sz="4" w:space="0"/>
            </w:tcBorders>
            <w:noWrap w:val="0"/>
            <w:vAlign w:val="center"/>
          </w:tcPr>
          <w:p>
            <w:pPr>
              <w:overflowPunct w:val="0"/>
              <w:snapToGrid w:val="0"/>
              <w:spacing w:line="360" w:lineRule="auto"/>
              <w:jc w:val="center"/>
              <w:rPr>
                <w:rFonts w:ascii="宋体" w:hAnsi="宋体"/>
                <w:sz w:val="24"/>
                <w:szCs w:val="24"/>
                <w:highlight w:val="none"/>
              </w:rPr>
            </w:pPr>
            <w:r>
              <w:rPr>
                <w:rFonts w:hint="eastAsia" w:ascii="宋体" w:hAnsi="宋体" w:cs="宋体"/>
                <w:kern w:val="0"/>
                <w:sz w:val="24"/>
                <w:szCs w:val="24"/>
                <w:highlight w:val="none"/>
              </w:rPr>
              <w:t>5分</w:t>
            </w:r>
          </w:p>
        </w:tc>
        <w:tc>
          <w:tcPr>
            <w:tcW w:w="3296"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sz w:val="24"/>
                <w:szCs w:val="24"/>
                <w:highlight w:val="none"/>
              </w:rPr>
            </w:pPr>
            <w:r>
              <w:rPr>
                <w:rFonts w:hint="eastAsia" w:ascii="宋体" w:hAnsi="宋体" w:cs="宋体"/>
                <w:sz w:val="24"/>
                <w:szCs w:val="24"/>
                <w:highlight w:val="none"/>
              </w:rPr>
              <w:t>1.供应商提供产品质量控制方案，由评标小组综合评定：</w:t>
            </w:r>
          </w:p>
          <w:p>
            <w:pPr>
              <w:widowControl/>
              <w:jc w:val="left"/>
              <w:rPr>
                <w:rFonts w:ascii="宋体" w:hAnsi="宋体" w:cs="宋体"/>
                <w:sz w:val="24"/>
                <w:szCs w:val="24"/>
                <w:highlight w:val="none"/>
              </w:rPr>
            </w:pPr>
            <w:r>
              <w:rPr>
                <w:rFonts w:ascii="宋体" w:hAnsi="宋体" w:cs="宋体"/>
                <w:sz w:val="24"/>
                <w:szCs w:val="24"/>
                <w:highlight w:val="none"/>
              </w:rPr>
              <w:t>方案科学详细，完善可行，得</w:t>
            </w:r>
            <w:r>
              <w:rPr>
                <w:rFonts w:hint="eastAsia" w:ascii="宋体" w:hAnsi="宋体" w:cs="宋体"/>
                <w:sz w:val="24"/>
                <w:szCs w:val="24"/>
                <w:highlight w:val="none"/>
              </w:rPr>
              <w:t>5</w:t>
            </w:r>
            <w:r>
              <w:rPr>
                <w:rFonts w:ascii="宋体" w:hAnsi="宋体" w:cs="宋体"/>
                <w:sz w:val="24"/>
                <w:szCs w:val="24"/>
                <w:highlight w:val="none"/>
              </w:rPr>
              <w:t>分</w:t>
            </w:r>
            <w:r>
              <w:rPr>
                <w:rFonts w:hint="eastAsia" w:ascii="宋体" w:hAnsi="宋体" w:cs="宋体"/>
                <w:sz w:val="24"/>
                <w:szCs w:val="24"/>
                <w:highlight w:val="none"/>
              </w:rPr>
              <w:t>；</w:t>
            </w:r>
          </w:p>
          <w:p>
            <w:pPr>
              <w:widowControl/>
              <w:jc w:val="left"/>
              <w:rPr>
                <w:rFonts w:ascii="宋体" w:hAnsi="宋体" w:cs="宋体"/>
                <w:sz w:val="24"/>
                <w:szCs w:val="24"/>
                <w:highlight w:val="none"/>
              </w:rPr>
            </w:pPr>
            <w:r>
              <w:rPr>
                <w:rFonts w:ascii="宋体" w:hAnsi="宋体" w:cs="宋体"/>
                <w:sz w:val="24"/>
                <w:szCs w:val="24"/>
                <w:highlight w:val="none"/>
              </w:rPr>
              <w:t>方案简单，具备一定的可行性，得</w:t>
            </w:r>
            <w:r>
              <w:rPr>
                <w:rFonts w:hint="eastAsia" w:ascii="宋体" w:hAnsi="宋体" w:cs="宋体"/>
                <w:sz w:val="24"/>
                <w:szCs w:val="24"/>
                <w:highlight w:val="none"/>
              </w:rPr>
              <w:t>3</w:t>
            </w:r>
            <w:r>
              <w:rPr>
                <w:rFonts w:ascii="宋体" w:hAnsi="宋体" w:cs="宋体"/>
                <w:sz w:val="24"/>
                <w:szCs w:val="24"/>
                <w:highlight w:val="none"/>
              </w:rPr>
              <w:t>分</w:t>
            </w:r>
            <w:r>
              <w:rPr>
                <w:rFonts w:hint="eastAsia" w:ascii="宋体" w:hAnsi="宋体" w:cs="宋体"/>
                <w:sz w:val="24"/>
                <w:szCs w:val="24"/>
                <w:highlight w:val="none"/>
              </w:rPr>
              <w:t>；</w:t>
            </w:r>
          </w:p>
          <w:p>
            <w:pPr>
              <w:widowControl/>
              <w:jc w:val="left"/>
              <w:rPr>
                <w:rFonts w:ascii="宋体" w:hAnsi="宋体" w:cs="宋体"/>
                <w:kern w:val="0"/>
                <w:sz w:val="24"/>
                <w:szCs w:val="24"/>
                <w:highlight w:val="none"/>
              </w:rPr>
            </w:pPr>
            <w:r>
              <w:rPr>
                <w:rFonts w:ascii="宋体" w:hAnsi="宋体" w:cs="宋体"/>
                <w:sz w:val="24"/>
                <w:szCs w:val="24"/>
                <w:highlight w:val="none"/>
              </w:rPr>
              <w:t>方案</w:t>
            </w:r>
            <w:r>
              <w:rPr>
                <w:rFonts w:hint="eastAsia" w:ascii="宋体" w:hAnsi="宋体" w:cs="宋体"/>
                <w:sz w:val="24"/>
                <w:szCs w:val="24"/>
                <w:highlight w:val="none"/>
              </w:rPr>
              <w:t>粗糙，可行性较差，</w:t>
            </w:r>
            <w:r>
              <w:rPr>
                <w:rFonts w:ascii="宋体" w:hAnsi="宋体" w:cs="宋体"/>
                <w:sz w:val="24"/>
                <w:szCs w:val="24"/>
                <w:highlight w:val="none"/>
              </w:rPr>
              <w:t>得1分</w:t>
            </w:r>
            <w:r>
              <w:rPr>
                <w:rFonts w:hint="eastAsia" w:ascii="宋体" w:hAnsi="宋体" w:cs="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jc w:val="center"/>
        </w:trPr>
        <w:tc>
          <w:tcPr>
            <w:tcW w:w="30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12</w:t>
            </w:r>
          </w:p>
        </w:tc>
        <w:tc>
          <w:tcPr>
            <w:tcW w:w="568"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00" w:type="pct"/>
            <w:vMerge w:val="continue"/>
            <w:tcBorders>
              <w:left w:val="single" w:color="auto" w:sz="4" w:space="0"/>
              <w:right w:val="single" w:color="auto" w:sz="4" w:space="0"/>
            </w:tcBorders>
            <w:noWrap w:val="0"/>
            <w:vAlign w:val="center"/>
          </w:tcPr>
          <w:p>
            <w:pPr>
              <w:widowControl/>
              <w:jc w:val="left"/>
              <w:rPr>
                <w:rFonts w:ascii="宋体" w:hAnsi="宋体"/>
                <w:sz w:val="24"/>
                <w:szCs w:val="24"/>
                <w:highlight w:val="none"/>
              </w:rPr>
            </w:pPr>
          </w:p>
        </w:tc>
        <w:tc>
          <w:tcPr>
            <w:tcW w:w="426" w:type="pct"/>
            <w:tcBorders>
              <w:top w:val="single" w:color="auto" w:sz="4" w:space="0"/>
              <w:left w:val="single" w:color="auto" w:sz="4" w:space="0"/>
              <w:bottom w:val="single" w:color="auto" w:sz="4" w:space="0"/>
              <w:right w:val="single" w:color="auto" w:sz="4" w:space="0"/>
            </w:tcBorders>
            <w:noWrap w:val="0"/>
            <w:vAlign w:val="center"/>
          </w:tcPr>
          <w:p>
            <w:pPr>
              <w:overflowPunct w:val="0"/>
              <w:snapToGrid w:val="0"/>
              <w:spacing w:line="360" w:lineRule="auto"/>
              <w:jc w:val="center"/>
              <w:rPr>
                <w:rFonts w:ascii="宋体" w:hAnsi="宋体"/>
                <w:sz w:val="24"/>
                <w:szCs w:val="24"/>
                <w:highlight w:val="none"/>
              </w:rPr>
            </w:pPr>
            <w:r>
              <w:rPr>
                <w:rFonts w:hint="eastAsia" w:ascii="宋体" w:hAnsi="宋体" w:cs="宋体"/>
                <w:kern w:val="0"/>
                <w:sz w:val="24"/>
                <w:szCs w:val="24"/>
                <w:highlight w:val="none"/>
              </w:rPr>
              <w:t>5分</w:t>
            </w:r>
          </w:p>
        </w:tc>
        <w:tc>
          <w:tcPr>
            <w:tcW w:w="3296"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sz w:val="24"/>
                <w:szCs w:val="24"/>
                <w:highlight w:val="none"/>
              </w:rPr>
            </w:pPr>
            <w:r>
              <w:rPr>
                <w:rFonts w:hint="eastAsia" w:ascii="宋体" w:hAnsi="宋体" w:cs="宋体"/>
                <w:sz w:val="24"/>
                <w:szCs w:val="24"/>
                <w:highlight w:val="none"/>
              </w:rPr>
              <w:t>2.供应商提供服务质量控制方案，由评标小组综合评定：</w:t>
            </w:r>
          </w:p>
          <w:p>
            <w:pPr>
              <w:widowControl/>
              <w:jc w:val="left"/>
              <w:rPr>
                <w:rFonts w:ascii="宋体" w:hAnsi="宋体" w:cs="宋体"/>
                <w:sz w:val="24"/>
                <w:szCs w:val="24"/>
                <w:highlight w:val="none"/>
              </w:rPr>
            </w:pPr>
            <w:r>
              <w:rPr>
                <w:rFonts w:ascii="宋体" w:hAnsi="宋体" w:cs="宋体"/>
                <w:sz w:val="24"/>
                <w:szCs w:val="24"/>
                <w:highlight w:val="none"/>
              </w:rPr>
              <w:t>方案科学详细，完善可行，得</w:t>
            </w:r>
            <w:r>
              <w:rPr>
                <w:rFonts w:hint="eastAsia" w:ascii="宋体" w:hAnsi="宋体" w:cs="宋体"/>
                <w:sz w:val="24"/>
                <w:szCs w:val="24"/>
                <w:highlight w:val="none"/>
              </w:rPr>
              <w:t>5</w:t>
            </w:r>
            <w:r>
              <w:rPr>
                <w:rFonts w:ascii="宋体" w:hAnsi="宋体" w:cs="宋体"/>
                <w:sz w:val="24"/>
                <w:szCs w:val="24"/>
                <w:highlight w:val="none"/>
              </w:rPr>
              <w:t>分</w:t>
            </w:r>
            <w:r>
              <w:rPr>
                <w:rFonts w:hint="eastAsia" w:ascii="宋体" w:hAnsi="宋体" w:cs="宋体"/>
                <w:sz w:val="24"/>
                <w:szCs w:val="24"/>
                <w:highlight w:val="none"/>
              </w:rPr>
              <w:t>；</w:t>
            </w:r>
          </w:p>
          <w:p>
            <w:pPr>
              <w:widowControl/>
              <w:jc w:val="left"/>
              <w:rPr>
                <w:rFonts w:ascii="宋体" w:hAnsi="宋体" w:cs="宋体"/>
                <w:sz w:val="24"/>
                <w:szCs w:val="24"/>
                <w:highlight w:val="none"/>
              </w:rPr>
            </w:pPr>
            <w:r>
              <w:rPr>
                <w:rFonts w:ascii="宋体" w:hAnsi="宋体" w:cs="宋体"/>
                <w:sz w:val="24"/>
                <w:szCs w:val="24"/>
                <w:highlight w:val="none"/>
              </w:rPr>
              <w:t>方案简单，具备一定的可行性，得</w:t>
            </w:r>
            <w:r>
              <w:rPr>
                <w:rFonts w:hint="eastAsia" w:ascii="宋体" w:hAnsi="宋体" w:cs="宋体"/>
                <w:sz w:val="24"/>
                <w:szCs w:val="24"/>
                <w:highlight w:val="none"/>
              </w:rPr>
              <w:t>3</w:t>
            </w:r>
            <w:r>
              <w:rPr>
                <w:rFonts w:ascii="宋体" w:hAnsi="宋体" w:cs="宋体"/>
                <w:sz w:val="24"/>
                <w:szCs w:val="24"/>
                <w:highlight w:val="none"/>
              </w:rPr>
              <w:t>分</w:t>
            </w:r>
            <w:r>
              <w:rPr>
                <w:rFonts w:hint="eastAsia" w:ascii="宋体" w:hAnsi="宋体" w:cs="宋体"/>
                <w:sz w:val="24"/>
                <w:szCs w:val="24"/>
                <w:highlight w:val="none"/>
              </w:rPr>
              <w:t>；</w:t>
            </w:r>
          </w:p>
          <w:p>
            <w:pPr>
              <w:widowControl/>
              <w:jc w:val="left"/>
              <w:rPr>
                <w:rFonts w:hint="eastAsia" w:ascii="宋体" w:hAnsi="宋体" w:cs="宋体"/>
                <w:kern w:val="0"/>
                <w:sz w:val="24"/>
                <w:szCs w:val="24"/>
                <w:highlight w:val="none"/>
              </w:rPr>
            </w:pPr>
            <w:r>
              <w:rPr>
                <w:rFonts w:ascii="宋体" w:hAnsi="宋体" w:cs="宋体"/>
                <w:sz w:val="24"/>
                <w:szCs w:val="24"/>
                <w:highlight w:val="none"/>
              </w:rPr>
              <w:t>方案</w:t>
            </w:r>
            <w:r>
              <w:rPr>
                <w:rFonts w:hint="eastAsia" w:ascii="宋体" w:hAnsi="宋体" w:cs="宋体"/>
                <w:sz w:val="24"/>
                <w:szCs w:val="24"/>
                <w:highlight w:val="none"/>
              </w:rPr>
              <w:t>粗糙，可行性较差，</w:t>
            </w:r>
            <w:r>
              <w:rPr>
                <w:rFonts w:ascii="宋体" w:hAnsi="宋体" w:cs="宋体"/>
                <w:sz w:val="24"/>
                <w:szCs w:val="24"/>
                <w:highlight w:val="none"/>
              </w:rPr>
              <w:t>得1分</w:t>
            </w:r>
            <w:r>
              <w:rPr>
                <w:rFonts w:hint="eastAsia" w:ascii="宋体" w:hAnsi="宋体" w:cs="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308" w:type="pct"/>
            <w:tcBorders>
              <w:top w:val="single" w:color="auto" w:sz="4" w:space="0"/>
              <w:left w:val="single" w:color="auto" w:sz="4" w:space="0"/>
              <w:bottom w:val="single" w:color="auto" w:sz="4" w:space="0"/>
              <w:right w:val="single" w:color="auto" w:sz="4" w:space="0"/>
            </w:tcBorders>
            <w:noWrap w:val="0"/>
            <w:vAlign w:val="center"/>
          </w:tcPr>
          <w:p>
            <w:pPr>
              <w:overflowPunct w:val="0"/>
              <w:snapToGrid w:val="0"/>
              <w:spacing w:line="360" w:lineRule="auto"/>
              <w:jc w:val="center"/>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13</w:t>
            </w:r>
          </w:p>
        </w:tc>
        <w:tc>
          <w:tcPr>
            <w:tcW w:w="568" w:type="pct"/>
            <w:vMerge w:val="continue"/>
            <w:tcBorders>
              <w:left w:val="single" w:color="auto" w:sz="4" w:space="0"/>
              <w:right w:val="single" w:color="auto" w:sz="4" w:space="0"/>
            </w:tcBorders>
            <w:noWrap w:val="0"/>
            <w:vAlign w:val="center"/>
          </w:tcPr>
          <w:p>
            <w:pPr>
              <w:overflowPunct w:val="0"/>
              <w:snapToGrid w:val="0"/>
              <w:spacing w:line="360" w:lineRule="auto"/>
              <w:rPr>
                <w:rFonts w:ascii="宋体" w:hAnsi="宋体"/>
                <w:sz w:val="24"/>
                <w:szCs w:val="24"/>
                <w:highlight w:val="none"/>
              </w:rPr>
            </w:pPr>
          </w:p>
        </w:tc>
        <w:tc>
          <w:tcPr>
            <w:tcW w:w="400" w:type="pct"/>
            <w:vMerge w:val="continue"/>
            <w:tcBorders>
              <w:left w:val="single" w:color="auto" w:sz="4" w:space="0"/>
              <w:right w:val="single" w:color="auto" w:sz="4" w:space="0"/>
            </w:tcBorders>
            <w:noWrap w:val="0"/>
            <w:vAlign w:val="center"/>
          </w:tcPr>
          <w:p>
            <w:pPr>
              <w:overflowPunct w:val="0"/>
              <w:snapToGrid w:val="0"/>
              <w:spacing w:line="360" w:lineRule="auto"/>
              <w:jc w:val="center"/>
              <w:rPr>
                <w:rFonts w:ascii="宋体" w:hAnsi="宋体"/>
                <w:sz w:val="24"/>
                <w:szCs w:val="24"/>
                <w:highlight w:val="none"/>
              </w:rPr>
            </w:pP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hint="eastAsia" w:ascii="宋体" w:hAnsi="宋体" w:cs="宋体"/>
                <w:kern w:val="0"/>
                <w:sz w:val="24"/>
                <w:szCs w:val="24"/>
                <w:highlight w:val="none"/>
              </w:rPr>
              <w:t>5分</w:t>
            </w:r>
          </w:p>
        </w:tc>
        <w:tc>
          <w:tcPr>
            <w:tcW w:w="3296"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sz w:val="24"/>
                <w:szCs w:val="24"/>
                <w:highlight w:val="none"/>
              </w:rPr>
            </w:pPr>
            <w:r>
              <w:rPr>
                <w:rFonts w:hint="eastAsia" w:ascii="宋体" w:hAnsi="宋体" w:cs="宋体"/>
                <w:sz w:val="24"/>
                <w:szCs w:val="24"/>
                <w:highlight w:val="none"/>
              </w:rPr>
              <w:t>3.供应商提供卫生管理控制方案（食品卫生，人员卫生，环境卫生等），由评标小组综合评定：</w:t>
            </w:r>
          </w:p>
          <w:p>
            <w:pPr>
              <w:widowControl/>
              <w:jc w:val="left"/>
              <w:rPr>
                <w:rFonts w:ascii="宋体" w:hAnsi="宋体" w:cs="宋体"/>
                <w:sz w:val="24"/>
                <w:szCs w:val="24"/>
                <w:highlight w:val="none"/>
              </w:rPr>
            </w:pPr>
            <w:r>
              <w:rPr>
                <w:rFonts w:ascii="宋体" w:hAnsi="宋体" w:cs="宋体"/>
                <w:sz w:val="24"/>
                <w:szCs w:val="24"/>
                <w:highlight w:val="none"/>
              </w:rPr>
              <w:t>方案科学详细，完善可行，得</w:t>
            </w:r>
            <w:r>
              <w:rPr>
                <w:rFonts w:hint="eastAsia" w:ascii="宋体" w:hAnsi="宋体" w:cs="宋体"/>
                <w:sz w:val="24"/>
                <w:szCs w:val="24"/>
                <w:highlight w:val="none"/>
              </w:rPr>
              <w:t>5</w:t>
            </w:r>
            <w:r>
              <w:rPr>
                <w:rFonts w:ascii="宋体" w:hAnsi="宋体" w:cs="宋体"/>
                <w:sz w:val="24"/>
                <w:szCs w:val="24"/>
                <w:highlight w:val="none"/>
              </w:rPr>
              <w:t>分</w:t>
            </w:r>
            <w:r>
              <w:rPr>
                <w:rFonts w:hint="eastAsia" w:ascii="宋体" w:hAnsi="宋体" w:cs="宋体"/>
                <w:sz w:val="24"/>
                <w:szCs w:val="24"/>
                <w:highlight w:val="none"/>
              </w:rPr>
              <w:t>；</w:t>
            </w:r>
          </w:p>
          <w:p>
            <w:pPr>
              <w:widowControl/>
              <w:jc w:val="left"/>
              <w:rPr>
                <w:rFonts w:ascii="宋体" w:hAnsi="宋体" w:cs="宋体"/>
                <w:sz w:val="24"/>
                <w:szCs w:val="24"/>
                <w:highlight w:val="none"/>
              </w:rPr>
            </w:pPr>
            <w:r>
              <w:rPr>
                <w:rFonts w:ascii="宋体" w:hAnsi="宋体" w:cs="宋体"/>
                <w:sz w:val="24"/>
                <w:szCs w:val="24"/>
                <w:highlight w:val="none"/>
              </w:rPr>
              <w:t>方案简单，具备一定的可行性，得</w:t>
            </w:r>
            <w:r>
              <w:rPr>
                <w:rFonts w:hint="eastAsia" w:ascii="宋体" w:hAnsi="宋体" w:cs="宋体"/>
                <w:sz w:val="24"/>
                <w:szCs w:val="24"/>
                <w:highlight w:val="none"/>
              </w:rPr>
              <w:t>3</w:t>
            </w:r>
            <w:r>
              <w:rPr>
                <w:rFonts w:ascii="宋体" w:hAnsi="宋体" w:cs="宋体"/>
                <w:sz w:val="24"/>
                <w:szCs w:val="24"/>
                <w:highlight w:val="none"/>
              </w:rPr>
              <w:t>分</w:t>
            </w:r>
            <w:r>
              <w:rPr>
                <w:rFonts w:hint="eastAsia" w:ascii="宋体" w:hAnsi="宋体" w:cs="宋体"/>
                <w:sz w:val="24"/>
                <w:szCs w:val="24"/>
                <w:highlight w:val="none"/>
              </w:rPr>
              <w:t>；</w:t>
            </w:r>
          </w:p>
          <w:p>
            <w:pPr>
              <w:widowControl/>
              <w:jc w:val="left"/>
              <w:rPr>
                <w:rFonts w:hint="eastAsia" w:ascii="宋体" w:hAnsi="宋体" w:cs="宋体"/>
                <w:kern w:val="0"/>
                <w:sz w:val="24"/>
                <w:szCs w:val="24"/>
                <w:highlight w:val="none"/>
              </w:rPr>
            </w:pPr>
            <w:r>
              <w:rPr>
                <w:rFonts w:ascii="宋体" w:hAnsi="宋体" w:cs="宋体"/>
                <w:sz w:val="24"/>
                <w:szCs w:val="24"/>
                <w:highlight w:val="none"/>
              </w:rPr>
              <w:t>方案</w:t>
            </w:r>
            <w:r>
              <w:rPr>
                <w:rFonts w:hint="eastAsia" w:ascii="宋体" w:hAnsi="宋体" w:cs="宋体"/>
                <w:sz w:val="24"/>
                <w:szCs w:val="24"/>
                <w:highlight w:val="none"/>
              </w:rPr>
              <w:t>粗糙，可行性较差，</w:t>
            </w:r>
            <w:r>
              <w:rPr>
                <w:rFonts w:ascii="宋体" w:hAnsi="宋体" w:cs="宋体"/>
                <w:sz w:val="24"/>
                <w:szCs w:val="24"/>
                <w:highlight w:val="none"/>
              </w:rPr>
              <w:t>得1分</w:t>
            </w:r>
            <w:r>
              <w:rPr>
                <w:rFonts w:hint="eastAsia" w:ascii="宋体" w:hAnsi="宋体" w:cs="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308" w:type="pct"/>
            <w:tcBorders>
              <w:top w:val="single" w:color="auto" w:sz="4" w:space="0"/>
              <w:left w:val="single" w:color="auto" w:sz="4" w:space="0"/>
              <w:bottom w:val="single" w:color="auto" w:sz="4" w:space="0"/>
              <w:right w:val="single" w:color="auto" w:sz="4" w:space="0"/>
            </w:tcBorders>
            <w:noWrap w:val="0"/>
            <w:vAlign w:val="center"/>
          </w:tcPr>
          <w:p>
            <w:pPr>
              <w:overflowPunct w:val="0"/>
              <w:snapToGrid w:val="0"/>
              <w:spacing w:line="360" w:lineRule="auto"/>
              <w:jc w:val="both"/>
              <w:rPr>
                <w:rFonts w:ascii="宋体" w:hAnsi="宋体"/>
                <w:sz w:val="24"/>
                <w:szCs w:val="24"/>
                <w:highlight w:val="none"/>
              </w:rPr>
            </w:pPr>
          </w:p>
        </w:tc>
        <w:tc>
          <w:tcPr>
            <w:tcW w:w="568" w:type="pct"/>
            <w:vMerge w:val="continue"/>
            <w:tcBorders>
              <w:left w:val="single" w:color="auto" w:sz="4" w:space="0"/>
              <w:right w:val="single" w:color="auto" w:sz="4" w:space="0"/>
            </w:tcBorders>
            <w:noWrap w:val="0"/>
            <w:vAlign w:val="center"/>
          </w:tcPr>
          <w:p>
            <w:pPr>
              <w:overflowPunct w:val="0"/>
              <w:snapToGrid w:val="0"/>
              <w:spacing w:line="360" w:lineRule="auto"/>
              <w:rPr>
                <w:rFonts w:ascii="宋体" w:hAnsi="宋体"/>
                <w:sz w:val="24"/>
                <w:szCs w:val="24"/>
                <w:highlight w:val="none"/>
              </w:rPr>
            </w:pPr>
          </w:p>
        </w:tc>
        <w:tc>
          <w:tcPr>
            <w:tcW w:w="400" w:type="pct"/>
            <w:vMerge w:val="continue"/>
            <w:tcBorders>
              <w:left w:val="single" w:color="auto" w:sz="4" w:space="0"/>
              <w:right w:val="single" w:color="auto" w:sz="4" w:space="0"/>
            </w:tcBorders>
            <w:noWrap w:val="0"/>
            <w:vAlign w:val="center"/>
          </w:tcPr>
          <w:p>
            <w:pPr>
              <w:overflowPunct w:val="0"/>
              <w:snapToGrid w:val="0"/>
              <w:spacing w:line="360" w:lineRule="auto"/>
              <w:jc w:val="center"/>
              <w:rPr>
                <w:rFonts w:ascii="宋体" w:hAnsi="宋体"/>
                <w:sz w:val="24"/>
                <w:szCs w:val="24"/>
                <w:highlight w:val="none"/>
              </w:rPr>
            </w:pP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hint="eastAsia" w:ascii="宋体" w:hAnsi="宋体" w:cs="宋体"/>
                <w:kern w:val="0"/>
                <w:sz w:val="24"/>
                <w:szCs w:val="24"/>
                <w:highlight w:val="none"/>
              </w:rPr>
              <w:t>5分</w:t>
            </w:r>
          </w:p>
        </w:tc>
        <w:tc>
          <w:tcPr>
            <w:tcW w:w="3296"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sz w:val="24"/>
                <w:szCs w:val="24"/>
                <w:highlight w:val="none"/>
              </w:rPr>
            </w:pPr>
            <w:r>
              <w:rPr>
                <w:rFonts w:hint="eastAsia" w:ascii="宋体" w:hAnsi="宋体" w:cs="宋体"/>
                <w:sz w:val="24"/>
                <w:szCs w:val="24"/>
                <w:highlight w:val="none"/>
              </w:rPr>
              <w:t>4.供应商提供原材料采购管理方案及保存管理方案，由评标小组综合评定：</w:t>
            </w:r>
          </w:p>
          <w:p>
            <w:pPr>
              <w:widowControl/>
              <w:jc w:val="left"/>
              <w:rPr>
                <w:rFonts w:ascii="宋体" w:hAnsi="宋体" w:cs="宋体"/>
                <w:sz w:val="24"/>
                <w:szCs w:val="24"/>
                <w:highlight w:val="none"/>
              </w:rPr>
            </w:pPr>
            <w:r>
              <w:rPr>
                <w:rFonts w:ascii="宋体" w:hAnsi="宋体" w:cs="宋体"/>
                <w:sz w:val="24"/>
                <w:szCs w:val="24"/>
                <w:highlight w:val="none"/>
              </w:rPr>
              <w:t>方案科学详细，完善可行，得</w:t>
            </w:r>
            <w:r>
              <w:rPr>
                <w:rFonts w:hint="eastAsia" w:ascii="宋体" w:hAnsi="宋体" w:cs="宋体"/>
                <w:sz w:val="24"/>
                <w:szCs w:val="24"/>
                <w:highlight w:val="none"/>
              </w:rPr>
              <w:t>5</w:t>
            </w:r>
            <w:r>
              <w:rPr>
                <w:rFonts w:ascii="宋体" w:hAnsi="宋体" w:cs="宋体"/>
                <w:sz w:val="24"/>
                <w:szCs w:val="24"/>
                <w:highlight w:val="none"/>
              </w:rPr>
              <w:t>分</w:t>
            </w:r>
            <w:r>
              <w:rPr>
                <w:rFonts w:hint="eastAsia" w:ascii="宋体" w:hAnsi="宋体" w:cs="宋体"/>
                <w:sz w:val="24"/>
                <w:szCs w:val="24"/>
                <w:highlight w:val="none"/>
              </w:rPr>
              <w:t>；</w:t>
            </w:r>
          </w:p>
          <w:p>
            <w:pPr>
              <w:widowControl/>
              <w:jc w:val="left"/>
              <w:rPr>
                <w:rFonts w:ascii="宋体" w:hAnsi="宋体" w:cs="宋体"/>
                <w:sz w:val="24"/>
                <w:szCs w:val="24"/>
                <w:highlight w:val="none"/>
              </w:rPr>
            </w:pPr>
            <w:r>
              <w:rPr>
                <w:rFonts w:ascii="宋体" w:hAnsi="宋体" w:cs="宋体"/>
                <w:sz w:val="24"/>
                <w:szCs w:val="24"/>
                <w:highlight w:val="none"/>
              </w:rPr>
              <w:t>方案简单，具备一定的可行性，得</w:t>
            </w:r>
            <w:r>
              <w:rPr>
                <w:rFonts w:hint="eastAsia" w:ascii="宋体" w:hAnsi="宋体" w:cs="宋体"/>
                <w:sz w:val="24"/>
                <w:szCs w:val="24"/>
                <w:highlight w:val="none"/>
              </w:rPr>
              <w:t>3</w:t>
            </w:r>
            <w:r>
              <w:rPr>
                <w:rFonts w:ascii="宋体" w:hAnsi="宋体" w:cs="宋体"/>
                <w:sz w:val="24"/>
                <w:szCs w:val="24"/>
                <w:highlight w:val="none"/>
              </w:rPr>
              <w:t>分</w:t>
            </w:r>
            <w:r>
              <w:rPr>
                <w:rFonts w:hint="eastAsia" w:ascii="宋体" w:hAnsi="宋体" w:cs="宋体"/>
                <w:sz w:val="24"/>
                <w:szCs w:val="24"/>
                <w:highlight w:val="none"/>
              </w:rPr>
              <w:t>；</w:t>
            </w:r>
          </w:p>
          <w:p>
            <w:pPr>
              <w:widowControl/>
              <w:jc w:val="left"/>
              <w:rPr>
                <w:rFonts w:hint="eastAsia" w:ascii="宋体" w:hAnsi="宋体" w:cs="宋体"/>
                <w:kern w:val="0"/>
                <w:sz w:val="24"/>
                <w:szCs w:val="24"/>
                <w:highlight w:val="none"/>
              </w:rPr>
            </w:pPr>
            <w:r>
              <w:rPr>
                <w:rFonts w:ascii="宋体" w:hAnsi="宋体" w:cs="宋体"/>
                <w:sz w:val="24"/>
                <w:szCs w:val="24"/>
                <w:highlight w:val="none"/>
              </w:rPr>
              <w:t>方案</w:t>
            </w:r>
            <w:r>
              <w:rPr>
                <w:rFonts w:hint="eastAsia" w:ascii="宋体" w:hAnsi="宋体" w:cs="宋体"/>
                <w:sz w:val="24"/>
                <w:szCs w:val="24"/>
                <w:highlight w:val="none"/>
              </w:rPr>
              <w:t>粗糙，可行性较差，</w:t>
            </w:r>
            <w:r>
              <w:rPr>
                <w:rFonts w:ascii="宋体" w:hAnsi="宋体" w:cs="宋体"/>
                <w:sz w:val="24"/>
                <w:szCs w:val="24"/>
                <w:highlight w:val="none"/>
              </w:rPr>
              <w:t>得1分</w:t>
            </w:r>
            <w:r>
              <w:rPr>
                <w:rFonts w:hint="eastAsia" w:ascii="宋体" w:hAnsi="宋体" w:cs="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jc w:val="center"/>
        </w:trPr>
        <w:tc>
          <w:tcPr>
            <w:tcW w:w="308" w:type="pct"/>
            <w:tcBorders>
              <w:top w:val="single" w:color="auto" w:sz="4" w:space="0"/>
              <w:left w:val="single" w:color="auto" w:sz="4" w:space="0"/>
              <w:bottom w:val="single" w:color="auto" w:sz="4" w:space="0"/>
              <w:right w:val="single" w:color="auto" w:sz="4" w:space="0"/>
            </w:tcBorders>
            <w:noWrap w:val="0"/>
            <w:vAlign w:val="center"/>
          </w:tcPr>
          <w:p>
            <w:pPr>
              <w:overflowPunct w:val="0"/>
              <w:snapToGrid w:val="0"/>
              <w:spacing w:line="360" w:lineRule="auto"/>
              <w:jc w:val="center"/>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14</w:t>
            </w:r>
          </w:p>
        </w:tc>
        <w:tc>
          <w:tcPr>
            <w:tcW w:w="568" w:type="pct"/>
            <w:vMerge w:val="continue"/>
            <w:tcBorders>
              <w:left w:val="single" w:color="auto" w:sz="4" w:space="0"/>
              <w:right w:val="single" w:color="auto" w:sz="4" w:space="0"/>
            </w:tcBorders>
            <w:noWrap w:val="0"/>
            <w:vAlign w:val="center"/>
          </w:tcPr>
          <w:p>
            <w:pPr>
              <w:overflowPunct w:val="0"/>
              <w:snapToGrid w:val="0"/>
              <w:spacing w:line="360" w:lineRule="auto"/>
              <w:rPr>
                <w:rFonts w:ascii="宋体" w:hAnsi="宋体"/>
                <w:sz w:val="24"/>
                <w:szCs w:val="24"/>
                <w:highlight w:val="none"/>
              </w:rPr>
            </w:pPr>
          </w:p>
        </w:tc>
        <w:tc>
          <w:tcPr>
            <w:tcW w:w="400" w:type="pct"/>
            <w:vMerge w:val="continue"/>
            <w:tcBorders>
              <w:left w:val="single" w:color="auto" w:sz="4" w:space="0"/>
              <w:right w:val="single" w:color="auto" w:sz="4" w:space="0"/>
            </w:tcBorders>
            <w:noWrap w:val="0"/>
            <w:vAlign w:val="center"/>
          </w:tcPr>
          <w:p>
            <w:pPr>
              <w:overflowPunct w:val="0"/>
              <w:snapToGrid w:val="0"/>
              <w:spacing w:line="360" w:lineRule="auto"/>
              <w:jc w:val="center"/>
              <w:rPr>
                <w:rFonts w:ascii="宋体" w:hAnsi="宋体"/>
                <w:sz w:val="24"/>
                <w:szCs w:val="24"/>
                <w:highlight w:val="none"/>
              </w:rPr>
            </w:pP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4"/>
                <w:szCs w:val="24"/>
                <w:highlight w:val="none"/>
              </w:rPr>
            </w:pPr>
            <w:r>
              <w:rPr>
                <w:rFonts w:hint="eastAsia" w:ascii="宋体" w:hAnsi="宋体" w:cs="宋体"/>
                <w:kern w:val="0"/>
                <w:sz w:val="24"/>
                <w:szCs w:val="24"/>
                <w:highlight w:val="none"/>
              </w:rPr>
              <w:t>5分</w:t>
            </w:r>
          </w:p>
        </w:tc>
        <w:tc>
          <w:tcPr>
            <w:tcW w:w="3296"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sz w:val="24"/>
                <w:szCs w:val="24"/>
                <w:highlight w:val="none"/>
              </w:rPr>
            </w:pPr>
            <w:r>
              <w:rPr>
                <w:rFonts w:hint="eastAsia" w:ascii="宋体" w:hAnsi="宋体" w:cs="宋体"/>
                <w:sz w:val="24"/>
                <w:szCs w:val="24"/>
                <w:highlight w:val="none"/>
              </w:rPr>
              <w:t>供应商提供应急响应预案及承诺，由评标小组综合评定:</w:t>
            </w:r>
            <w:r>
              <w:rPr>
                <w:rFonts w:ascii="宋体" w:hAnsi="宋体" w:cs="宋体"/>
                <w:sz w:val="24"/>
                <w:szCs w:val="24"/>
                <w:highlight w:val="none"/>
              </w:rPr>
              <w:t xml:space="preserve"> </w:t>
            </w:r>
          </w:p>
          <w:p>
            <w:pPr>
              <w:widowControl/>
              <w:jc w:val="left"/>
              <w:rPr>
                <w:rFonts w:ascii="宋体" w:hAnsi="宋体" w:cs="宋体"/>
                <w:sz w:val="24"/>
                <w:szCs w:val="24"/>
                <w:highlight w:val="none"/>
              </w:rPr>
            </w:pPr>
            <w:r>
              <w:rPr>
                <w:rFonts w:ascii="宋体" w:hAnsi="宋体" w:cs="宋体"/>
                <w:sz w:val="24"/>
                <w:szCs w:val="24"/>
                <w:highlight w:val="none"/>
              </w:rPr>
              <w:t>方案科学详细，完善可行，得5分</w:t>
            </w:r>
            <w:r>
              <w:rPr>
                <w:rFonts w:hint="eastAsia" w:ascii="宋体" w:hAnsi="宋体" w:cs="宋体"/>
                <w:sz w:val="24"/>
                <w:szCs w:val="24"/>
                <w:highlight w:val="none"/>
              </w:rPr>
              <w:t>；</w:t>
            </w:r>
          </w:p>
          <w:p>
            <w:pPr>
              <w:widowControl/>
              <w:jc w:val="left"/>
              <w:rPr>
                <w:rFonts w:ascii="宋体" w:hAnsi="宋体" w:cs="宋体"/>
                <w:sz w:val="24"/>
                <w:szCs w:val="24"/>
                <w:highlight w:val="none"/>
              </w:rPr>
            </w:pPr>
            <w:r>
              <w:rPr>
                <w:rFonts w:ascii="宋体" w:hAnsi="宋体" w:cs="宋体"/>
                <w:sz w:val="24"/>
                <w:szCs w:val="24"/>
                <w:highlight w:val="none"/>
              </w:rPr>
              <w:t>方案简单，具备一定的可行性，得3分</w:t>
            </w:r>
            <w:r>
              <w:rPr>
                <w:rFonts w:hint="eastAsia" w:ascii="宋体" w:hAnsi="宋体" w:cs="宋体"/>
                <w:sz w:val="24"/>
                <w:szCs w:val="24"/>
                <w:highlight w:val="none"/>
              </w:rPr>
              <w:t>；</w:t>
            </w:r>
          </w:p>
          <w:p>
            <w:pPr>
              <w:widowControl/>
              <w:jc w:val="left"/>
              <w:rPr>
                <w:rFonts w:ascii="宋体" w:hAnsi="宋体" w:cs="宋体"/>
                <w:kern w:val="0"/>
                <w:sz w:val="24"/>
                <w:szCs w:val="24"/>
                <w:highlight w:val="none"/>
              </w:rPr>
            </w:pPr>
            <w:r>
              <w:rPr>
                <w:rFonts w:ascii="宋体" w:hAnsi="宋体" w:cs="宋体"/>
                <w:sz w:val="24"/>
                <w:szCs w:val="24"/>
                <w:highlight w:val="none"/>
              </w:rPr>
              <w:t>方案</w:t>
            </w:r>
            <w:r>
              <w:rPr>
                <w:rFonts w:hint="eastAsia" w:ascii="宋体" w:hAnsi="宋体" w:cs="宋体"/>
                <w:sz w:val="24"/>
                <w:szCs w:val="24"/>
                <w:highlight w:val="none"/>
              </w:rPr>
              <w:t>粗糙，可行性较差，</w:t>
            </w:r>
            <w:r>
              <w:rPr>
                <w:rFonts w:ascii="宋体" w:hAnsi="宋体" w:cs="宋体"/>
                <w:sz w:val="24"/>
                <w:szCs w:val="24"/>
                <w:highlight w:val="none"/>
              </w:rPr>
              <w:t>得1分</w:t>
            </w:r>
            <w:r>
              <w:rPr>
                <w:rFonts w:hint="eastAsia" w:ascii="宋体" w:hAnsi="宋体" w:cs="宋体"/>
                <w:sz w:val="24"/>
                <w:szCs w:val="24"/>
                <w:highlight w:val="none"/>
              </w:rPr>
              <w:t>；</w:t>
            </w:r>
          </w:p>
        </w:tc>
      </w:tr>
    </w:tbl>
    <w:p>
      <w:pPr>
        <w:keepNext/>
        <w:keepLines/>
        <w:numPr>
          <w:ilvl w:val="2"/>
          <w:numId w:val="0"/>
        </w:numPr>
        <w:tabs>
          <w:tab w:val="left" w:pos="0"/>
        </w:tabs>
        <w:spacing w:before="50" w:line="400" w:lineRule="exact"/>
        <w:outlineLvl w:val="0"/>
        <w:rPr>
          <w:rFonts w:ascii="宋体" w:hAnsi="宋体" w:cs="宋体"/>
          <w:sz w:val="24"/>
          <w:highlight w:val="none"/>
        </w:rPr>
      </w:pPr>
      <w:bookmarkStart w:id="32" w:name="_Toc32717"/>
      <w:r>
        <w:rPr>
          <w:rFonts w:hint="eastAsia" w:ascii="宋体" w:hAnsi="宋体" w:cs="宋体"/>
          <w:sz w:val="24"/>
          <w:highlight w:val="none"/>
        </w:rPr>
        <w:t>注：</w:t>
      </w:r>
      <w:bookmarkEnd w:id="32"/>
    </w:p>
    <w:p>
      <w:pPr>
        <w:keepNext/>
        <w:keepLines/>
        <w:numPr>
          <w:ilvl w:val="0"/>
          <w:numId w:val="2"/>
        </w:numPr>
        <w:tabs>
          <w:tab w:val="left" w:pos="0"/>
        </w:tabs>
        <w:spacing w:before="50" w:line="400" w:lineRule="exact"/>
        <w:ind w:firstLine="480" w:firstLineChars="200"/>
        <w:jc w:val="left"/>
        <w:outlineLvl w:val="2"/>
        <w:rPr>
          <w:rFonts w:ascii="宋体" w:hAnsi="宋体" w:cs="宋体"/>
          <w:sz w:val="24"/>
          <w:highlight w:val="none"/>
        </w:rPr>
      </w:pPr>
      <w:r>
        <w:rPr>
          <w:rFonts w:hint="eastAsia" w:ascii="宋体" w:hAnsi="宋体" w:cs="宋体"/>
          <w:sz w:val="24"/>
          <w:highlight w:val="none"/>
        </w:rPr>
        <w:t>评分细则中要求提供的证明文件及资料的复印件均需加盖投标单位公章并装订在响应文件中；</w:t>
      </w:r>
    </w:p>
    <w:p>
      <w:pPr>
        <w:keepNext/>
        <w:keepLines/>
        <w:numPr>
          <w:ilvl w:val="0"/>
          <w:numId w:val="2"/>
        </w:numPr>
        <w:tabs>
          <w:tab w:val="left" w:pos="0"/>
        </w:tabs>
        <w:spacing w:before="50" w:line="400" w:lineRule="exact"/>
        <w:ind w:firstLine="482" w:firstLineChars="200"/>
        <w:jc w:val="left"/>
        <w:outlineLvl w:val="2"/>
        <w:rPr>
          <w:rFonts w:ascii="宋体" w:hAnsi="宋体" w:cs="宋体"/>
          <w:b/>
          <w:bCs/>
          <w:sz w:val="24"/>
          <w:highlight w:val="none"/>
          <w:u w:val="double"/>
        </w:rPr>
      </w:pPr>
      <w:r>
        <w:rPr>
          <w:rFonts w:hint="eastAsia" w:ascii="宋体" w:hAnsi="宋体" w:cs="宋体"/>
          <w:b/>
          <w:bCs/>
          <w:sz w:val="24"/>
          <w:highlight w:val="none"/>
          <w:u w:val="double"/>
        </w:rPr>
        <w:t>评分细则中要求“原件核查”的须在投标截止前将相关原件或公证件，随同响应文件一并提交以供评委会核查，过时不予接收。</w:t>
      </w:r>
    </w:p>
    <w:p>
      <w:pPr>
        <w:tabs>
          <w:tab w:val="left" w:pos="5940"/>
        </w:tabs>
        <w:snapToGrid w:val="0"/>
        <w:spacing w:line="400" w:lineRule="exact"/>
        <w:ind w:firstLine="480" w:firstLineChars="200"/>
        <w:jc w:val="left"/>
        <w:rPr>
          <w:rFonts w:ascii="宋体" w:hAnsi="宋体" w:cs="宋体"/>
          <w:sz w:val="24"/>
          <w:highlight w:val="none"/>
        </w:rPr>
      </w:pPr>
      <w:r>
        <w:rPr>
          <w:rFonts w:hint="eastAsia" w:ascii="宋体" w:hAnsi="宋体" w:cs="宋体"/>
          <w:bCs/>
          <w:sz w:val="24"/>
          <w:highlight w:val="none"/>
        </w:rPr>
        <w:t>3、为便于评分，请供应商按评分表样式，逐条列出证明材料所在页码，格式自定。</w:t>
      </w:r>
    </w:p>
    <w:p>
      <w:pPr>
        <w:spacing w:line="400" w:lineRule="exact"/>
        <w:jc w:val="left"/>
        <w:rPr>
          <w:rFonts w:ascii="宋体" w:hAnsi="宋体" w:cs="宋体"/>
          <w:sz w:val="24"/>
          <w:highlight w:val="none"/>
        </w:rPr>
      </w:pPr>
      <w:r>
        <w:rPr>
          <w:rFonts w:hint="eastAsia" w:ascii="宋体" w:hAnsi="宋体" w:cs="宋体"/>
          <w:sz w:val="24"/>
          <w:highlight w:val="none"/>
        </w:rPr>
        <w:t>针对评分要求投标单位须提供如下表：</w:t>
      </w:r>
    </w:p>
    <w:tbl>
      <w:tblPr>
        <w:tblStyle w:val="14"/>
        <w:tblW w:w="937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37"/>
        <w:gridCol w:w="4806"/>
        <w:gridCol w:w="373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3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
                <w:sz w:val="24"/>
                <w:highlight w:val="none"/>
              </w:rPr>
            </w:pPr>
            <w:r>
              <w:rPr>
                <w:rFonts w:hint="eastAsia" w:ascii="宋体" w:hAnsi="宋体" w:cs="宋体"/>
                <w:sz w:val="24"/>
                <w:highlight w:val="none"/>
              </w:rPr>
              <w:t>序号</w:t>
            </w:r>
          </w:p>
        </w:tc>
        <w:tc>
          <w:tcPr>
            <w:tcW w:w="480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
                <w:sz w:val="24"/>
                <w:highlight w:val="none"/>
              </w:rPr>
            </w:pPr>
            <w:r>
              <w:rPr>
                <w:rFonts w:hint="eastAsia" w:ascii="宋体" w:hAnsi="宋体" w:cs="宋体"/>
                <w:sz w:val="24"/>
                <w:highlight w:val="none"/>
              </w:rPr>
              <w:t>内    容</w:t>
            </w:r>
          </w:p>
        </w:tc>
        <w:tc>
          <w:tcPr>
            <w:tcW w:w="37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
                <w:sz w:val="24"/>
                <w:highlight w:val="none"/>
              </w:rPr>
            </w:pPr>
            <w:r>
              <w:rPr>
                <w:rFonts w:hint="eastAsia" w:ascii="宋体" w:hAnsi="宋体" w:cs="宋体"/>
                <w:sz w:val="24"/>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3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
                <w:sz w:val="24"/>
                <w:highlight w:val="none"/>
              </w:rPr>
            </w:pPr>
            <w:r>
              <w:rPr>
                <w:rFonts w:hint="eastAsia" w:ascii="宋体" w:hAnsi="宋体" w:cs="宋体"/>
                <w:sz w:val="24"/>
                <w:highlight w:val="none"/>
              </w:rPr>
              <w:t>1</w:t>
            </w:r>
          </w:p>
        </w:tc>
        <w:tc>
          <w:tcPr>
            <w:tcW w:w="480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ascii="宋体" w:hAnsi="宋体" w:cs="宋体"/>
                <w:sz w:val="24"/>
                <w:highlight w:val="none"/>
              </w:rPr>
            </w:pPr>
          </w:p>
        </w:tc>
        <w:tc>
          <w:tcPr>
            <w:tcW w:w="37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ascii="宋体" w:hAnsi="宋体" w:cs="宋体"/>
                <w:sz w:val="24"/>
                <w:highlight w:val="none"/>
              </w:rPr>
            </w:pPr>
            <w:r>
              <w:rPr>
                <w:rFonts w:hint="eastAsia" w:ascii="宋体" w:hAnsi="宋体" w:cs="宋体"/>
                <w:sz w:val="24"/>
                <w:highlight w:val="none"/>
              </w:rPr>
              <w:t>见响应文件        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3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
                <w:sz w:val="24"/>
                <w:highlight w:val="none"/>
              </w:rPr>
            </w:pPr>
            <w:r>
              <w:rPr>
                <w:rFonts w:hint="eastAsia" w:ascii="宋体" w:hAnsi="宋体" w:cs="宋体"/>
                <w:sz w:val="24"/>
                <w:highlight w:val="none"/>
              </w:rPr>
              <w:t>2</w:t>
            </w:r>
          </w:p>
        </w:tc>
        <w:tc>
          <w:tcPr>
            <w:tcW w:w="480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ascii="宋体" w:hAnsi="宋体" w:cs="宋体"/>
                <w:sz w:val="24"/>
                <w:highlight w:val="none"/>
              </w:rPr>
            </w:pPr>
          </w:p>
        </w:tc>
        <w:tc>
          <w:tcPr>
            <w:tcW w:w="37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ascii="宋体" w:hAnsi="宋体" w:cs="宋体"/>
                <w:sz w:val="24"/>
                <w:highlight w:val="none"/>
              </w:rPr>
            </w:pPr>
            <w:r>
              <w:rPr>
                <w:rFonts w:hint="eastAsia" w:ascii="宋体" w:hAnsi="宋体" w:cs="宋体"/>
                <w:sz w:val="24"/>
                <w:highlight w:val="none"/>
              </w:rPr>
              <w:t>见响应文件        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3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宋体" w:hAnsi="宋体" w:cs="宋体"/>
                <w:sz w:val="24"/>
                <w:highlight w:val="none"/>
              </w:rPr>
            </w:pPr>
            <w:r>
              <w:rPr>
                <w:rFonts w:hint="eastAsia" w:ascii="宋体" w:hAnsi="宋体" w:cs="宋体"/>
                <w:sz w:val="24"/>
                <w:highlight w:val="none"/>
              </w:rPr>
              <w:t>3</w:t>
            </w:r>
          </w:p>
        </w:tc>
        <w:tc>
          <w:tcPr>
            <w:tcW w:w="480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ascii="宋体" w:hAnsi="宋体" w:cs="宋体"/>
                <w:sz w:val="24"/>
                <w:highlight w:val="none"/>
              </w:rPr>
            </w:pPr>
          </w:p>
        </w:tc>
        <w:tc>
          <w:tcPr>
            <w:tcW w:w="37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ascii="宋体" w:hAnsi="宋体" w:cs="宋体"/>
                <w:sz w:val="24"/>
                <w:highlight w:val="none"/>
              </w:rPr>
            </w:pPr>
            <w:r>
              <w:rPr>
                <w:rFonts w:hint="eastAsia" w:ascii="宋体" w:hAnsi="宋体" w:cs="宋体"/>
                <w:sz w:val="24"/>
                <w:highlight w:val="none"/>
              </w:rPr>
              <w:t>见响应文件        页</w:t>
            </w:r>
          </w:p>
        </w:tc>
      </w:tr>
    </w:tbl>
    <w:p>
      <w:pPr>
        <w:pStyle w:val="9"/>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rPr>
          <w:rFonts w:hint="eastAsia" w:ascii="黑体" w:hAnsi="黑体" w:eastAsia="黑体" w:cs="黑体"/>
          <w:b/>
          <w:bCs/>
          <w:sz w:val="44"/>
          <w:szCs w:val="44"/>
          <w:highlight w:val="none"/>
          <w:lang w:val="en-US" w:eastAsia="zh-CN"/>
        </w:rPr>
      </w:pPr>
      <w:r>
        <w:rPr>
          <w:rFonts w:hint="eastAsia" w:ascii="黑体" w:hAnsi="黑体" w:eastAsia="黑体" w:cs="黑体"/>
          <w:b/>
          <w:bCs/>
          <w:sz w:val="44"/>
          <w:szCs w:val="44"/>
          <w:highlight w:val="none"/>
          <w:lang w:val="en-US" w:eastAsia="zh-CN"/>
        </w:rPr>
        <w:br w:type="page"/>
      </w:r>
    </w:p>
    <w:p>
      <w:pPr>
        <w:pStyle w:val="2"/>
        <w:ind w:left="0" w:leftChars="0" w:firstLine="0" w:firstLineChars="0"/>
        <w:jc w:val="center"/>
        <w:outlineLvl w:val="0"/>
        <w:rPr>
          <w:rFonts w:hint="eastAsia" w:ascii="黑体" w:hAnsi="黑体" w:eastAsia="黑体" w:cs="黑体"/>
          <w:b/>
          <w:bCs/>
          <w:sz w:val="44"/>
          <w:szCs w:val="44"/>
          <w:highlight w:val="none"/>
          <w:lang w:val="en-US" w:eastAsia="zh-CN"/>
        </w:rPr>
      </w:pPr>
      <w:bookmarkStart w:id="33" w:name="_Toc22236"/>
      <w:r>
        <w:rPr>
          <w:rFonts w:hint="eastAsia" w:ascii="黑体" w:hAnsi="黑体" w:eastAsia="黑体" w:cs="黑体"/>
          <w:b/>
          <w:bCs/>
          <w:sz w:val="44"/>
          <w:szCs w:val="44"/>
          <w:highlight w:val="none"/>
          <w:lang w:val="en-US" w:eastAsia="zh-CN"/>
        </w:rPr>
        <w:t>第四章 采购需求</w:t>
      </w:r>
      <w:bookmarkEnd w:id="33"/>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一、项目说明：</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1、项目概况：根据省纪委监委、省教育厅、常州市金坛区教育局关于常州市金坛区学校阳光食堂综合智能服务平台建设的工作要求，为确保我区中小学</w:t>
      </w:r>
      <w:r>
        <w:rPr>
          <w:rFonts w:hint="eastAsia" w:ascii="宋体" w:hAnsi="宋体" w:cs="宋体"/>
          <w:sz w:val="24"/>
          <w:highlight w:val="none"/>
          <w:lang w:eastAsia="zh-CN"/>
        </w:rPr>
        <w:t>幼儿园</w:t>
      </w:r>
      <w:r>
        <w:rPr>
          <w:rFonts w:hint="eastAsia" w:ascii="宋体" w:hAnsi="宋体" w:cs="宋体"/>
          <w:sz w:val="24"/>
          <w:highlight w:val="none"/>
        </w:rPr>
        <w:t>食堂食品安</w:t>
      </w:r>
      <w:r>
        <w:rPr>
          <w:rFonts w:hint="eastAsia" w:ascii="宋体" w:hAnsi="宋体" w:cs="宋体"/>
          <w:sz w:val="24"/>
          <w:highlight w:val="none"/>
        </w:rPr>
        <w:t>全，规范食品及原料采购行为，维护师生的合法权益。现开展</w:t>
      </w:r>
      <w:r>
        <w:rPr>
          <w:rFonts w:hint="eastAsia" w:ascii="宋体" w:hAnsi="宋体" w:cs="宋体"/>
          <w:sz w:val="24"/>
          <w:highlight w:val="none"/>
          <w:lang w:eastAsia="zh-CN"/>
        </w:rPr>
        <w:t>常州市金坛区公办中小学幼儿园食堂</w:t>
      </w:r>
      <w:r>
        <w:rPr>
          <w:rFonts w:hint="eastAsia" w:ascii="宋体" w:hAnsi="宋体" w:cs="宋体"/>
          <w:sz w:val="24"/>
          <w:highlight w:val="none"/>
        </w:rPr>
        <w:t>日常所用伙食物资的供货单位招标。</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2、协议供货期自签订合同之日起至2024年</w:t>
      </w:r>
      <w:r>
        <w:rPr>
          <w:rFonts w:hint="eastAsia" w:ascii="宋体" w:hAnsi="宋体" w:cs="宋体"/>
          <w:sz w:val="24"/>
          <w:highlight w:val="none"/>
          <w:lang w:val="en-US" w:eastAsia="zh-CN"/>
        </w:rPr>
        <w:t>7</w:t>
      </w:r>
      <w:r>
        <w:rPr>
          <w:rFonts w:hint="eastAsia" w:ascii="宋体" w:hAnsi="宋体" w:cs="宋体"/>
          <w:sz w:val="24"/>
          <w:highlight w:val="none"/>
        </w:rPr>
        <w:t>月</w:t>
      </w:r>
      <w:r>
        <w:rPr>
          <w:rFonts w:hint="eastAsia" w:ascii="宋体" w:hAnsi="宋体" w:cs="宋体"/>
          <w:sz w:val="24"/>
          <w:highlight w:val="none"/>
          <w:lang w:val="en-US" w:eastAsia="zh-CN"/>
        </w:rPr>
        <w:t>31</w:t>
      </w:r>
      <w:r>
        <w:rPr>
          <w:rFonts w:hint="eastAsia" w:ascii="宋体" w:hAnsi="宋体" w:cs="宋体"/>
          <w:sz w:val="24"/>
          <w:highlight w:val="none"/>
        </w:rPr>
        <w:t>日止。供货期内因政策调整等不可抗拒因素需终止供货的，采购人提前通知中标供应商。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3、师生人数：约</w:t>
      </w:r>
      <w:r>
        <w:rPr>
          <w:rFonts w:hint="eastAsia" w:ascii="宋体" w:hAnsi="宋体" w:cs="宋体"/>
          <w:sz w:val="24"/>
          <w:highlight w:val="none"/>
          <w:lang w:val="en-US" w:eastAsia="zh-CN"/>
        </w:rPr>
        <w:t>40000</w:t>
      </w:r>
      <w:r>
        <w:rPr>
          <w:rFonts w:hint="eastAsia" w:ascii="宋体" w:hAnsi="宋体" w:cs="宋体"/>
          <w:sz w:val="24"/>
          <w:highlight w:val="none"/>
        </w:rPr>
        <w:t>人。</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4、学校数量：</w:t>
      </w:r>
      <w:r>
        <w:rPr>
          <w:rFonts w:hint="eastAsia" w:ascii="宋体" w:hAnsi="宋体" w:cs="宋体"/>
          <w:sz w:val="24"/>
          <w:highlight w:val="none"/>
          <w:lang w:val="en-US" w:eastAsia="zh-CN"/>
        </w:rPr>
        <w:t>43</w:t>
      </w:r>
      <w:r>
        <w:rPr>
          <w:rFonts w:hint="eastAsia" w:ascii="宋体" w:hAnsi="宋体" w:cs="宋体"/>
          <w:sz w:val="24"/>
          <w:highlight w:val="none"/>
        </w:rPr>
        <w:t>所。</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、采购模式：</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.1经过竞争性磋商确定</w:t>
      </w:r>
      <w:r>
        <w:rPr>
          <w:rFonts w:hint="eastAsia" w:ascii="宋体" w:hAnsi="宋体" w:cs="宋体"/>
          <w:sz w:val="24"/>
          <w:highlight w:val="none"/>
          <w:lang w:eastAsia="zh-CN"/>
        </w:rPr>
        <w:t>常州市金坛区公办中小学幼儿园食堂</w:t>
      </w:r>
      <w:r>
        <w:rPr>
          <w:rFonts w:hint="eastAsia" w:ascii="宋体" w:hAnsi="宋体" w:cs="宋体"/>
          <w:sz w:val="24"/>
          <w:highlight w:val="none"/>
        </w:rPr>
        <w:t>日常所用伙食物资的供货单位。</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.2</w:t>
      </w:r>
      <w:r>
        <w:rPr>
          <w:rFonts w:hint="eastAsia" w:ascii="宋体" w:hAnsi="宋体" w:cs="宋体"/>
          <w:sz w:val="24"/>
          <w:highlight w:val="none"/>
          <w:lang w:eastAsia="zh-CN"/>
        </w:rPr>
        <w:t>常州市金坛区公办中小学幼儿园学校</w:t>
      </w:r>
      <w:r>
        <w:rPr>
          <w:rFonts w:hint="eastAsia" w:ascii="宋体" w:hAnsi="宋体" w:cs="宋体"/>
          <w:sz w:val="24"/>
          <w:highlight w:val="none"/>
        </w:rPr>
        <w:t>只能在中标单位名单范围中选择食材供货服务商。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.3</w:t>
      </w:r>
      <w:r>
        <w:rPr>
          <w:rFonts w:hint="eastAsia" w:ascii="宋体" w:hAnsi="宋体" w:cs="宋体"/>
          <w:sz w:val="24"/>
          <w:highlight w:val="none"/>
          <w:lang w:eastAsia="zh-CN"/>
        </w:rPr>
        <w:t>常州市金坛区公办中小学幼儿园学校</w:t>
      </w:r>
      <w:r>
        <w:rPr>
          <w:rFonts w:hint="eastAsia" w:ascii="宋体" w:hAnsi="宋体" w:cs="宋体"/>
          <w:sz w:val="24"/>
          <w:highlight w:val="none"/>
        </w:rPr>
        <w:t>根据江苏省教育厅文件规定及常州市金坛区学校阳光食堂综合智能服务平台建设实施细则要求，进行二次报价选择食材供货服务商，再行分别签订食材供货合同，一般一个学校食材由一家供货商集成供应。</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.4 每家中标单位最多可为</w:t>
      </w:r>
      <w:r>
        <w:rPr>
          <w:rFonts w:hint="eastAsia" w:ascii="宋体" w:hAnsi="宋体" w:cs="宋体"/>
          <w:sz w:val="24"/>
          <w:highlight w:val="none"/>
        </w:rPr>
        <w:t>4个学校</w:t>
      </w:r>
      <w:r>
        <w:rPr>
          <w:rFonts w:hint="eastAsia" w:ascii="宋体" w:hAnsi="宋体" w:cs="宋体"/>
          <w:sz w:val="24"/>
          <w:highlight w:val="none"/>
        </w:rPr>
        <w:t>提供食材配送服务，区教育局将根据实际情况进行调整。</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.5 二次报价周期：原则上两周一次竞价，逢节假日等特殊情况将另行通知。每次报价不得高于当期最高限价×</w:t>
      </w:r>
      <w:r>
        <w:rPr>
          <w:rFonts w:hint="eastAsia" w:ascii="宋体" w:hAnsi="宋体" w:cs="宋体"/>
          <w:color w:val="FF0000"/>
          <w:sz w:val="24"/>
          <w:highlight w:val="none"/>
        </w:rPr>
        <w:t>承诺折扣率（★承诺折扣率不低于10%（即不高于9折），在响应文件中提供承诺函，格式自拟）</w:t>
      </w:r>
      <w:r>
        <w:rPr>
          <w:rFonts w:hint="eastAsia" w:ascii="宋体" w:hAnsi="宋体" w:cs="宋体"/>
          <w:sz w:val="24"/>
          <w:highlight w:val="none"/>
        </w:rPr>
        <w:t>，当期最高限价由相关部门经市场调研后提前公布</w:t>
      </w:r>
      <w:r>
        <w:rPr>
          <w:rFonts w:hint="eastAsia" w:ascii="宋体" w:hAnsi="宋体" w:cs="宋体"/>
          <w:sz w:val="24"/>
          <w:highlight w:val="none"/>
        </w:rPr>
        <w:t>。二次竞价中标规则为最低价中标，区教育局有权根据实际情况对二次竞价中标规则进行调整，调整前将通知所有参与二次竞价的供应商。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.6 为学校提供食堂用工服务的供应商，不得参与该校（或食堂）的食材供应竞价。</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6</w:t>
      </w:r>
      <w:r>
        <w:rPr>
          <w:rFonts w:hint="eastAsia" w:ascii="宋体" w:hAnsi="宋体" w:cs="宋体"/>
          <w:sz w:val="24"/>
          <w:highlight w:val="none"/>
        </w:rPr>
        <w:t>、结算方式：每个供货周期结束后，经考核合格一周内结清。</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、本项目中带★要求均为实质性要求，不能出现负偏离，否则为无效响应。</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二、食材库清单：</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食材库由金坛区教育局统一制定</w:t>
      </w:r>
      <w:r>
        <w:rPr>
          <w:rFonts w:hint="eastAsia" w:ascii="宋体" w:hAnsi="宋体" w:cs="宋体"/>
          <w:sz w:val="24"/>
          <w:highlight w:val="none"/>
        </w:rPr>
        <w:t>，学校采购食材只允许在食材库中进行选择，常州市金坛区教育局将和相关部门根据政策及市场情况进行微调。</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★三、项目服务要求：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1、总体要求：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1.1供应商供货的预包装食品应具有年度法定质量检测报告。</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1.2供应商具有食品安全管理的体系。</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1.3供应商应自行办理运输车辆进入金坛区城区通行证。</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2、食材质量标准：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2.1肉质量标准：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2.1.1猪肉：使用冷鲜肉品牌产品，质量必须符合GB9959.1-2001《鲜、冻片猪肉》标准，主要产品包括大排、肉丝、肉片、方肉、小排、肉糜等。其中排肉是指无骨腿肉和无骨夹心肉，其中腿肉要求剔除大股骨，夹心肉要求割除下懒肉，整方供应，并提供《动物或动物产品分销信息凭证》或《动物检疫合格证》和《肉品品质检验合格证》及其它相关证明材料。提供的生猪应由规模养殖场提供经农业部门检测、检疫合格的鲜活健康猪源，经定点屠宰厂屠宰加工并检验合格；供货工具必须符合卫生要求，不得与其它货物混装，防止肉品二次污染。</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2.1.2除猪肉类质量标准：使用冷鲜肉品牌产品，质量必须符合GB9959.1-2001标准、GB/T 17238-2008《鲜、冻分割牛肉》等国家标准，并提供《动物或动物产品分销信息凭证》或《动物检疫合格证》和《肉品品质检验合格证》及其它相关证明材料。供货工具必须符合卫生要求，不得与其它货物混装，防止肉品二次污染。</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2.2水产品质量要求：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2.2.1活鱼类：必须符合GB 2733-2015《食品安全国家标准 鲜、冻动物性水产品》等。产品的感观、安全、卫生、稳定性等指标符合相关规定。</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2.2.2冻鱼类：必须符合GB 2733-2015《食品安全国家标准 鲜、冻动物性水产品》、GB/T 18109-2011《冻鱼》。产品的感观、安全、卫生、稳定性等指标符合相关规定。</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2.2.3其他：其他水产品符合GB 19643-2016《食品安全国家标准 藻类及其制品》等相关国家标准。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2.3禽蛋质量要求：禽蛋必须保证新鲜，无破损，禽蛋等新鲜蛋类必须符合GB2749-2015《食品安全国家标准 蛋与蛋制品》标准。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2.4禽类质量要求：必须符合GB 2707-2016食品安全标准《鲜（冻）畜、禽产品》、GB 16869-2005《鲜、冻禽产品》标准，提供《动物或动物产品分销信息凭证》或《动物检疫合格证》。</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2.5速冻面米制品质量要求：必须保证为有效保质期内产品，必须符合GB 19295-2011《食品安全国家标准 速冻面米制品》标准。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2.6蔬菜质量要求：蔬菜必须保证无黄叶、叶面干净无明显泥土。所提供的蔬菜必须保证新鲜、无黄叶、枯死叶、无虫、无杂质、不腐烂变质，对蔬菜中有害物质严格控制在标准规定范围之内，符合相应的有关国家标准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2.7豆制品质量要求：发酵性豆制品必须符合GB2712-2014《食品安全国家标准 豆制品》标准，非发酵豆制品必须符合GB/T 22106-2008标准、GB2711-2014《食品安全国家标准 面筋制品》标准，对豆制品的有关安全健康指标符合国家规定。</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2.8水果质量要求：个头均匀，无斑点，无破损，果实成熟新鲜，对水果中有害物质严格控制在标准规定范围之内，符合相应的有关国家标准要求。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2.9南北干货质量要求：应符合相关的国家或行业食品安全标准。需要分包装的产品需使用符合卫生标准的包装袋，并规定要求加贴产品信息标签。</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2.10面粉质量要求：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2.10.1外包装完好，标明商品名称、净含量、生产商、产地、产品标准号、质量等级、生产许可证号、产品批号、生产日期、保质期，所有商品须具有《产品质量检验报告》和《出厂检验报告》。</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2.10.2须新鲜、色泽呈现乳白或微黄色、手感细腻、颗粒均匀、有自然浓郁的麦香味、手抓后自然流出、松开手后不成团。</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2.11米面制品质量要求：面条、饺子皮、馄饨皮等面制成品符合食品安全国家标准。面条、饺子皮、馄饨皮等面制成品的生产加工企业须具有相关生产许可证件。</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注：以上质量标准如有新的国家或行业标准出台，则以最新标准执行。</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3、供货服务要求：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3.1每天送货，具体送达时间和送货清单根据各学校的需求确定。</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3.2供应商供应的食材必须符合《中华人民共和国食品安全法》及有关食品安全标准；每次的供货清单须是打印稿，并仔细核对采购清单，确保各所学校食堂所需的食品原材料品种、品牌、规格、数量、质量等准确无误，并在规定时间内送达；供应商向各学校食堂提供商品的品牌、规格必须与合同规定一致，严禁擅自更换商品品牌、规格，如发现擅自更换商品品牌、规格，以及食材卫生质量问题或者以次充好，供应商应无条件退货或换货，并根据合同规定进行处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3.3供应商严禁提供《中华人民共和国食品安全法》第三十四条明令禁止生产经营的食品。</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3.4严禁擅自提供食材库允许范围以外的食材切块、切丝、去皮、分割等加工服务。</w:t>
      </w:r>
    </w:p>
    <w:p>
      <w:pPr>
        <w:spacing w:line="360" w:lineRule="auto"/>
        <w:ind w:firstLine="484" w:firstLineChars="202"/>
        <w:rPr>
          <w:rFonts w:ascii="宋体" w:hAnsi="宋体" w:cs="宋体"/>
          <w:sz w:val="24"/>
          <w:highlight w:val="none"/>
        </w:rPr>
      </w:pPr>
      <w:r>
        <w:rPr>
          <w:rFonts w:hint="eastAsia" w:ascii="宋体" w:hAnsi="宋体" w:cs="宋体"/>
          <w:sz w:val="24"/>
          <w:highlight w:val="none"/>
        </w:rPr>
        <w:t>3.5严禁以物换物。</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3.6每次供货均需提供蔬菜、冷鲜肉类、水产、水果、豆制品等散称称重的生鲜农产品的快检报告、食材检验合格证、检验检疫等合格证明材料。未按照索证索票要求提供材料的，将按照相关考核要求（见附件）进行处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3.7供应商应全程使用带有冷藏功能的厢式货车用于本项目服务。供应商提供车辆情况一览表（见响应文件格式6）</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3.8供应商投入本项目的所有带有冷藏功能的厢式货车，配送学校前必须将卫星定位系统、车厢内的视频监控设备、冷藏车厢内的温度监测设备（温度记录仪）安装完毕；卫星定位系统、冷藏车厢内的温度监测设备（温度记录仪）应全部接入常州市金坛区学校阳光食堂综合智能服务平台。</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3.9供应商所投入的所有送货货车消毒记录（主要包含消毒人员、是否消毒、消毒时间等）。要求每天要对车辆进行消毒，并做好相应记录，以备核查。</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3.10供应商所投入的所有带有冷藏功能的厢式货车，如车身需喷涂，粘贴广告图案、文字等内容，需符合教育局等相关部门的规定及要求。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4、供货人员要求：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4.1人员配备数量应符合本项目服务要求。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4.2身体健康，无传染性疾病、精神疾病，具有有效健康合格证明。</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4.3根据新冠疫情防控要求，供货人员必须提供与防疫政策一致的相关数据（健康码、行程码、核酸检测报告）。</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5、入围供应商接入常州市金坛区学校阳光食堂综合智能服务平台服务要求：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5.1供应商入围后，须应用常州市金坛区学校阳光食堂综合智能服务平台，在规定时间内进行合理报价，若出现不按时报价、选择性报价、恶意报价等情况，按照扣分细则进行处罚。</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5.2 供应商中标后，须按统一要求与格式签订入围协议、供货合同与廉政协议。</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5.3供应商中标后，按系统自动生成的订单，与学校方进行核对确认备货，若有调整修改，须全部通过常州市金坛区学校阳光食堂综合智能服务平台进行操作，不得线下自行交易。</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5.4供应商在订单修改时间截止后，应用常州市金坛区学校阳光食堂综合智能服务平台可打印订单与货品汇总情况进行及时备货，若有疑问与变化，须电话与学校方进行沟通；供应商须应用常州市金坛区学校阳光食堂综合智能服务平台，如实填写供货品种的生产日期，并打印“学校食材统一配送单（带有溯源二维条形码）”。</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5.5供应商的快检设备须接入常州市金坛区学校阳光食堂综合智能服务平台，实时上传常州市金坛区学校阳光食堂综合智能服务平台，禁止手工修改。应用常州市金坛区学校阳光食堂综合智能服务平台打印“学校食材统一快检报告单”。</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5.6学校在验收过程，如果发生应急事宜，需要临时补货，供应商须应用常州市金坛区学校阳光食堂综合智能服务平台，进行发货单填写，随货物一起补送至学校。</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5.7学校现场应用智能溯源核磅秤进行验收，供应商须在线进行签字确认，若有异议应当场解决，不得事后线下操作。</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5.8学校按时进行线上考核评估后，供应商应及时进行确认操作。</w:t>
      </w:r>
    </w:p>
    <w:p>
      <w:pPr>
        <w:numPr>
          <w:ilvl w:val="0"/>
          <w:numId w:val="3"/>
        </w:num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准入退出制度：</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1、经考核，扣分达达到相应分值后执行以下惩罚措施。</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（1）累计扣分达到10分，暂停</w:t>
      </w:r>
      <w:r>
        <w:rPr>
          <w:rFonts w:hint="eastAsia" w:ascii="宋体" w:hAnsi="宋体" w:cs="宋体"/>
          <w:sz w:val="24"/>
          <w:highlight w:val="none"/>
          <w:lang w:val="en-US" w:eastAsia="zh-CN"/>
        </w:rPr>
        <w:t>2</w:t>
      </w:r>
      <w:r>
        <w:rPr>
          <w:rFonts w:hint="eastAsia" w:ascii="宋体" w:hAnsi="宋体" w:cs="宋体"/>
          <w:sz w:val="24"/>
          <w:highlight w:val="none"/>
        </w:rPr>
        <w:t>次竞价资格。</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（2）累计扣分达到20分，连续暂停</w:t>
      </w:r>
      <w:r>
        <w:rPr>
          <w:rFonts w:hint="eastAsia" w:ascii="宋体" w:hAnsi="宋体" w:cs="宋体"/>
          <w:sz w:val="24"/>
          <w:highlight w:val="none"/>
          <w:lang w:val="en-US" w:eastAsia="zh-CN"/>
        </w:rPr>
        <w:t>4</w:t>
      </w:r>
      <w:r>
        <w:rPr>
          <w:rFonts w:hint="eastAsia" w:ascii="宋体" w:hAnsi="宋体" w:cs="宋体"/>
          <w:sz w:val="24"/>
          <w:highlight w:val="none"/>
        </w:rPr>
        <w:t>次竞价资格。</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（3）累计扣分达到40分，中止合同并且赔偿学校相关损失。</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2、供应商在二次竞价时中标后，中标品种不得更改，单个学校退换货金额不得超过中标周期内合同总金额的10％。更改食材品种或超过中标周期内合同总金额10%的部分不予结账。违反上述要求的，发现一次暂停</w:t>
      </w:r>
      <w:r>
        <w:rPr>
          <w:rFonts w:hint="eastAsia" w:ascii="宋体" w:hAnsi="宋体" w:cs="宋体"/>
          <w:sz w:val="24"/>
          <w:highlight w:val="none"/>
          <w:lang w:val="en-US" w:eastAsia="zh-CN"/>
        </w:rPr>
        <w:t>2</w:t>
      </w:r>
      <w:r>
        <w:rPr>
          <w:rFonts w:hint="eastAsia" w:ascii="宋体" w:hAnsi="宋体" w:cs="宋体"/>
          <w:sz w:val="24"/>
          <w:highlight w:val="none"/>
        </w:rPr>
        <w:t>次竞价资格，发现二次暂停</w:t>
      </w:r>
      <w:r>
        <w:rPr>
          <w:rFonts w:hint="eastAsia" w:ascii="宋体" w:hAnsi="宋体" w:cs="宋体"/>
          <w:sz w:val="24"/>
          <w:highlight w:val="none"/>
          <w:lang w:val="en-US" w:eastAsia="zh-CN"/>
        </w:rPr>
        <w:t>4</w:t>
      </w:r>
      <w:r>
        <w:rPr>
          <w:rFonts w:hint="eastAsia" w:ascii="宋体" w:hAnsi="宋体" w:cs="宋体"/>
          <w:sz w:val="24"/>
          <w:highlight w:val="none"/>
        </w:rPr>
        <w:t>次竞价资格，发现三次终止中标合同。</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3、供货期间，区教育局将联合市场监督管理部门对供应商品进行不定期抽检，发现有质量安全问题、过期产品或使用假冒品牌的产品，一经查实，由区教育局约谈相关企业， 限定时间整改，约谈后拒不整改的，取消供货资格，3 年内不能参加所有金坛区学校食堂食品原材料采购和配送。有重大食品安全问题的供应企业将纳入供应商黑名单。</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4、中标后，供货商将标的转让、转包或委托他人配送的，一经查实，由区教育局约谈相关企业，限定时间整改，约谈后拒不整改的，取消供货资格。3 年内不能参加所有金坛区学校食堂食品原材料采购和配送。</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5、在合同周期内，相关学校集中反应意见大的供货商，由区教育局约谈相关企业， 限定时间整改，约谈后拒不整改的，取消供货资格。3 年内不能参加所有金坛区学校食堂食品原材料采购和配送。</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6、因供应商原因造成重大社会影响的，中止合同，并由供应商承担所有赔偿责任。</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7、以上措施可能因政策和实际执行情况有所调整，供应商必须无条件接受并遵照执行。</w:t>
      </w:r>
    </w:p>
    <w:p>
      <w:pPr>
        <w:spacing w:line="360" w:lineRule="auto"/>
        <w:ind w:firstLine="487" w:firstLineChars="202"/>
        <w:rPr>
          <w:rFonts w:hint="eastAsia" w:ascii="宋体" w:hAnsi="宋体" w:eastAsia="宋体" w:cs="宋体"/>
          <w:b/>
          <w:bCs/>
          <w:sz w:val="24"/>
          <w:highlight w:val="none"/>
          <w:lang w:eastAsia="zh-CN"/>
        </w:rPr>
      </w:pPr>
      <w:r>
        <w:rPr>
          <w:rFonts w:hint="eastAsia" w:ascii="宋体" w:hAnsi="宋体" w:cs="宋体"/>
          <w:b/>
          <w:bCs/>
          <w:sz w:val="24"/>
          <w:highlight w:val="none"/>
        </w:rPr>
        <w:t>8、江苏省阳光食堂监管平台本年度供应商考核汇总扣分倒数两名的供应商将不能参加本区学校</w:t>
      </w:r>
      <w:r>
        <w:rPr>
          <w:rFonts w:hint="eastAsia" w:ascii="宋体" w:hAnsi="宋体" w:cs="宋体"/>
          <w:b/>
          <w:bCs/>
          <w:sz w:val="24"/>
          <w:highlight w:val="none"/>
          <w:lang w:eastAsia="zh-CN"/>
        </w:rPr>
        <w:t>下一年度</w:t>
      </w:r>
      <w:r>
        <w:rPr>
          <w:rFonts w:hint="eastAsia" w:ascii="宋体" w:hAnsi="宋体" w:cs="宋体"/>
          <w:b/>
          <w:bCs/>
          <w:sz w:val="24"/>
          <w:highlight w:val="none"/>
        </w:rPr>
        <w:t>食材</w:t>
      </w:r>
      <w:r>
        <w:rPr>
          <w:rFonts w:hint="eastAsia" w:ascii="宋体" w:hAnsi="宋体" w:cs="宋体"/>
          <w:b/>
          <w:bCs/>
          <w:sz w:val="24"/>
          <w:highlight w:val="none"/>
          <w:lang w:eastAsia="zh-CN"/>
        </w:rPr>
        <w:t>招标。</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五、一票否决制度</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供货商在履行供货合同期间，如有以下情形之一的，相关学校可与供货商终止供货合同，供货商停止供货的时间以教育局书面通知为准。且该供货商3年内不得参与所有金坛区学校食堂食品原材料采购和配送。中止合同的，由备选供应商按招标综合得分由高到低递补。</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1、因食品原材料问题而发生学校食品安全事故的。</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2、供货商提供的食品原材料被市场监管局抽检认定为存在质量问题的。</w:t>
      </w:r>
    </w:p>
    <w:p>
      <w:pPr>
        <w:spacing w:line="360" w:lineRule="auto"/>
        <w:ind w:left="479" w:leftChars="228"/>
        <w:rPr>
          <w:rFonts w:hint="eastAsia" w:ascii="宋体" w:hAnsi="宋体" w:cs="宋体"/>
          <w:sz w:val="24"/>
          <w:highlight w:val="none"/>
        </w:rPr>
      </w:pPr>
      <w:r>
        <w:rPr>
          <w:rFonts w:hint="eastAsia" w:ascii="宋体" w:hAnsi="宋体" w:cs="宋体"/>
          <w:sz w:val="24"/>
          <w:highlight w:val="none"/>
        </w:rPr>
        <w:t>3、相关证照被行政主管部门吊销的。</w:t>
      </w:r>
      <w:r>
        <w:rPr>
          <w:rFonts w:hint="eastAsia" w:ascii="宋体" w:hAnsi="宋体" w:cs="宋体"/>
          <w:sz w:val="24"/>
          <w:highlight w:val="none"/>
        </w:rPr>
        <w:br w:type="textWrapping"/>
      </w:r>
      <w:r>
        <w:rPr>
          <w:rFonts w:hint="eastAsia" w:ascii="宋体" w:hAnsi="宋体" w:cs="宋体"/>
          <w:sz w:val="24"/>
          <w:highlight w:val="none"/>
        </w:rPr>
        <w:t>4、擅自向学校供应食材库以外的食材的。</w:t>
      </w:r>
      <w:r>
        <w:rPr>
          <w:rFonts w:hint="eastAsia" w:ascii="宋体" w:hAnsi="宋体" w:cs="宋体"/>
          <w:sz w:val="24"/>
          <w:highlight w:val="none"/>
        </w:rPr>
        <w:br w:type="textWrapping"/>
      </w:r>
      <w:r>
        <w:rPr>
          <w:rFonts w:hint="eastAsia" w:ascii="宋体" w:hAnsi="宋体" w:cs="宋体"/>
          <w:sz w:val="24"/>
          <w:highlight w:val="none"/>
        </w:rPr>
        <w:t>5、擅自在学校食材采购活动中以物换物的。</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六、其他：</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 入围供货服务商应纳入江苏省“阳光食堂”信息化监管服务平台管理，同时按政府要求纳入常州市金坛区学校阳光食堂综合智能服务平台。</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 供应商应和常州市金坛区学校阳光食堂综合智能服务平台建设方另行签订使用协议。</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 本章中要求提供的承诺函必须按条款单独承诺，每个条款一份承诺函（均需加盖投标人公章），不提供或未按要求提供的视作无效响应。</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★4.履约保函：履约保函为人民币壹拾万元整</w:t>
      </w:r>
      <w:r>
        <w:rPr>
          <w:rFonts w:hint="eastAsia" w:ascii="Times New Roman" w:hAnsi="Times New Roman" w:eastAsia="宋体"/>
          <w:sz w:val="24"/>
          <w:highlight w:val="none"/>
          <w:lang w:val="en-US" w:eastAsia="zh-CN"/>
        </w:rPr>
        <w:t>/单位</w:t>
      </w:r>
      <w:r>
        <w:rPr>
          <w:rFonts w:hint="eastAsia" w:ascii="宋体" w:hAnsi="宋体" w:cs="宋体"/>
          <w:sz w:val="24"/>
          <w:highlight w:val="none"/>
        </w:rPr>
        <w:t>。</w:t>
      </w:r>
    </w:p>
    <w:p>
      <w:pPr>
        <w:rPr>
          <w:rFonts w:hint="eastAsia"/>
          <w:highlight w:val="none"/>
        </w:rPr>
      </w:pPr>
      <w:r>
        <w:rPr>
          <w:rFonts w:hint="eastAsia" w:ascii="宋体" w:hAnsi="宋体" w:cs="宋体"/>
          <w:sz w:val="24"/>
          <w:highlight w:val="none"/>
        </w:rPr>
        <w:br w:type="page"/>
      </w:r>
      <w:r>
        <w:rPr>
          <w:rFonts w:hint="eastAsia"/>
          <w:sz w:val="24"/>
          <w:highlight w:val="none"/>
        </w:rPr>
        <w:t>附表</w:t>
      </w:r>
      <w:r>
        <w:rPr>
          <w:rFonts w:hint="eastAsia"/>
          <w:sz w:val="24"/>
          <w:highlight w:val="none"/>
          <w:lang w:val="en-US" w:eastAsia="zh-CN"/>
        </w:rPr>
        <w:t>1</w:t>
      </w:r>
      <w:r>
        <w:rPr>
          <w:rFonts w:hint="eastAsia"/>
          <w:sz w:val="24"/>
          <w:highlight w:val="none"/>
        </w:rPr>
        <w:t>：考核标准</w:t>
      </w:r>
    </w:p>
    <w:tbl>
      <w:tblPr>
        <w:tblStyle w:val="14"/>
        <w:tblW w:w="58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699"/>
        <w:gridCol w:w="1067"/>
        <w:gridCol w:w="3700"/>
        <w:gridCol w:w="4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972" w:hRule="atLeast"/>
          <w:jc w:val="center"/>
        </w:trPr>
        <w:tc>
          <w:tcPr>
            <w:tcW w:w="358"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序号</w:t>
            </w:r>
          </w:p>
        </w:tc>
        <w:tc>
          <w:tcPr>
            <w:tcW w:w="546"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考核指标</w:t>
            </w:r>
          </w:p>
        </w:tc>
        <w:tc>
          <w:tcPr>
            <w:tcW w:w="1893"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考核内容</w:t>
            </w:r>
          </w:p>
        </w:tc>
        <w:tc>
          <w:tcPr>
            <w:tcW w:w="2202"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扣分标准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972" w:hRule="atLeast"/>
          <w:jc w:val="center"/>
        </w:trPr>
        <w:tc>
          <w:tcPr>
            <w:tcW w:w="358"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1</w:t>
            </w:r>
          </w:p>
        </w:tc>
        <w:tc>
          <w:tcPr>
            <w:tcW w:w="546"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保证质量</w:t>
            </w:r>
          </w:p>
        </w:tc>
        <w:tc>
          <w:tcPr>
            <w:tcW w:w="1893"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配送食材符合食材验收标准。</w:t>
            </w:r>
          </w:p>
        </w:tc>
        <w:tc>
          <w:tcPr>
            <w:tcW w:w="2202"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发现不符合验收标准的，每次每样</w:t>
            </w:r>
            <w:r>
              <w:rPr>
                <w:rFonts w:hint="eastAsia" w:ascii="宋体" w:hAnsi="宋体" w:cs="宋体"/>
                <w:kern w:val="0"/>
                <w:sz w:val="24"/>
                <w:highlight w:val="none"/>
                <w:lang w:eastAsia="zh-CN"/>
              </w:rPr>
              <w:t>至少</w:t>
            </w:r>
            <w:r>
              <w:rPr>
                <w:rFonts w:hint="eastAsia" w:ascii="宋体" w:hAnsi="宋体" w:cs="宋体"/>
                <w:kern w:val="0"/>
                <w:sz w:val="24"/>
                <w:highlight w:val="none"/>
              </w:rPr>
              <w:t>扣</w:t>
            </w:r>
            <w:r>
              <w:rPr>
                <w:rFonts w:hint="eastAsia" w:ascii="宋体" w:hAnsi="宋体" w:cs="宋体"/>
                <w:kern w:val="0"/>
                <w:sz w:val="24"/>
                <w:highlight w:val="none"/>
                <w:lang w:val="en-US" w:eastAsia="zh-CN"/>
              </w:rPr>
              <w:t>4</w:t>
            </w:r>
            <w:r>
              <w:rPr>
                <w:rFonts w:hint="eastAsia" w:ascii="宋体" w:hAnsi="宋体" w:cs="宋体"/>
                <w:kern w:val="0"/>
                <w:sz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972" w:hRule="atLeast"/>
          <w:jc w:val="center"/>
        </w:trPr>
        <w:tc>
          <w:tcPr>
            <w:tcW w:w="358"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2</w:t>
            </w:r>
          </w:p>
        </w:tc>
        <w:tc>
          <w:tcPr>
            <w:tcW w:w="546"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送货齐全</w:t>
            </w:r>
          </w:p>
        </w:tc>
        <w:tc>
          <w:tcPr>
            <w:tcW w:w="1893"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送货无漏发漏送迟到现象。</w:t>
            </w:r>
          </w:p>
        </w:tc>
        <w:tc>
          <w:tcPr>
            <w:tcW w:w="2202"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有漏发漏送迟到的，一次</w:t>
            </w:r>
            <w:r>
              <w:rPr>
                <w:rFonts w:hint="eastAsia" w:ascii="宋体" w:hAnsi="宋体" w:cs="宋体"/>
                <w:kern w:val="0"/>
                <w:sz w:val="24"/>
                <w:highlight w:val="none"/>
                <w:lang w:eastAsia="zh-CN"/>
              </w:rPr>
              <w:t>至少</w:t>
            </w:r>
            <w:r>
              <w:rPr>
                <w:rFonts w:hint="eastAsia" w:ascii="宋体" w:hAnsi="宋体" w:cs="宋体"/>
                <w:kern w:val="0"/>
                <w:sz w:val="24"/>
                <w:highlight w:val="none"/>
              </w:rPr>
              <w:t>扣</w:t>
            </w:r>
            <w:r>
              <w:rPr>
                <w:rFonts w:hint="eastAsia" w:ascii="宋体" w:hAnsi="宋体" w:cs="宋体"/>
                <w:kern w:val="0"/>
                <w:sz w:val="24"/>
                <w:highlight w:val="none"/>
                <w:lang w:val="en-US" w:eastAsia="zh-CN"/>
              </w:rPr>
              <w:t>3</w:t>
            </w:r>
            <w:r>
              <w:rPr>
                <w:rFonts w:hint="eastAsia" w:ascii="宋体" w:hAnsi="宋体" w:cs="宋体"/>
                <w:kern w:val="0"/>
                <w:sz w:val="24"/>
                <w:highlight w:val="none"/>
              </w:rPr>
              <w:t>分，以此类推。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603" w:hRule="atLeast"/>
          <w:jc w:val="center"/>
        </w:trPr>
        <w:tc>
          <w:tcPr>
            <w:tcW w:w="358"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3</w:t>
            </w:r>
          </w:p>
        </w:tc>
        <w:tc>
          <w:tcPr>
            <w:tcW w:w="546"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品牌规范</w:t>
            </w:r>
          </w:p>
        </w:tc>
        <w:tc>
          <w:tcPr>
            <w:tcW w:w="1893"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按采购协</w:t>
            </w:r>
            <w:r>
              <w:rPr>
                <w:rFonts w:hint="eastAsia" w:ascii="宋体" w:hAnsi="宋体" w:eastAsia="宋体" w:cs="宋体"/>
                <w:kern w:val="0"/>
                <w:sz w:val="24"/>
                <w:highlight w:val="none"/>
              </w:rPr>
              <w:t>议要求的品牌采购，无擅换商品或品牌现象。如协议中没有校方所需品牌规范的商品，事先与校方联系并谈妥商品的品牌、 品级、规格、价格等事项,然后发货。</w:t>
            </w:r>
          </w:p>
        </w:tc>
        <w:tc>
          <w:tcPr>
            <w:tcW w:w="2202"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有擅自更换品牌、 品级、规格、价格等事项，每次</w:t>
            </w:r>
            <w:r>
              <w:rPr>
                <w:rFonts w:hint="eastAsia" w:ascii="宋体" w:hAnsi="宋体" w:cs="宋体"/>
                <w:kern w:val="0"/>
                <w:sz w:val="24"/>
                <w:highlight w:val="none"/>
                <w:lang w:eastAsia="zh-CN"/>
              </w:rPr>
              <w:t>至少</w:t>
            </w:r>
            <w:r>
              <w:rPr>
                <w:rFonts w:hint="eastAsia" w:ascii="宋体" w:hAnsi="宋体" w:cs="宋体"/>
                <w:kern w:val="0"/>
                <w:sz w:val="24"/>
                <w:highlight w:val="none"/>
              </w:rPr>
              <w:t>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380" w:hRule="atLeast"/>
          <w:jc w:val="center"/>
        </w:trPr>
        <w:tc>
          <w:tcPr>
            <w:tcW w:w="358"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4</w:t>
            </w:r>
          </w:p>
        </w:tc>
        <w:tc>
          <w:tcPr>
            <w:tcW w:w="546"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配送车辆</w:t>
            </w:r>
          </w:p>
        </w:tc>
        <w:tc>
          <w:tcPr>
            <w:tcW w:w="1893"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全程使用带冷链车辆配送食材</w:t>
            </w:r>
          </w:p>
        </w:tc>
        <w:tc>
          <w:tcPr>
            <w:tcW w:w="2202"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不使用带冷藏或冷冻功能的厢式货车一次</w:t>
            </w:r>
            <w:r>
              <w:rPr>
                <w:rFonts w:hint="eastAsia" w:ascii="宋体" w:hAnsi="宋体" w:cs="宋体"/>
                <w:kern w:val="0"/>
                <w:sz w:val="24"/>
                <w:highlight w:val="none"/>
                <w:lang w:eastAsia="zh-CN"/>
              </w:rPr>
              <w:t>至少</w:t>
            </w:r>
            <w:r>
              <w:rPr>
                <w:rFonts w:hint="eastAsia" w:ascii="宋体" w:hAnsi="宋体" w:cs="宋体"/>
                <w:kern w:val="0"/>
                <w:sz w:val="24"/>
                <w:highlight w:val="none"/>
              </w:rPr>
              <w:t>扣1分（学校有特殊情况并提供证明除外）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788" w:hRule="atLeast"/>
          <w:jc w:val="center"/>
        </w:trPr>
        <w:tc>
          <w:tcPr>
            <w:tcW w:w="358"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5</w:t>
            </w:r>
          </w:p>
        </w:tc>
        <w:tc>
          <w:tcPr>
            <w:tcW w:w="546"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索票索证</w:t>
            </w:r>
          </w:p>
        </w:tc>
        <w:tc>
          <w:tcPr>
            <w:tcW w:w="1893"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按相关规定 ,一次不漏的向食堂提供有关商品的检测资料及票证，并符合食品卫生监督部门的要求。</w:t>
            </w:r>
          </w:p>
        </w:tc>
        <w:tc>
          <w:tcPr>
            <w:tcW w:w="2202"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遗漏一次</w:t>
            </w:r>
            <w:r>
              <w:rPr>
                <w:rFonts w:hint="eastAsia" w:ascii="宋体" w:hAnsi="宋体" w:cs="宋体"/>
                <w:kern w:val="0"/>
                <w:sz w:val="24"/>
                <w:highlight w:val="none"/>
                <w:lang w:eastAsia="zh-CN"/>
              </w:rPr>
              <w:t>至少</w:t>
            </w:r>
            <w:r>
              <w:rPr>
                <w:rFonts w:hint="eastAsia" w:ascii="宋体" w:hAnsi="宋体" w:cs="宋体"/>
                <w:kern w:val="0"/>
                <w:sz w:val="24"/>
                <w:highlight w:val="none"/>
              </w:rPr>
              <w:t>扣</w:t>
            </w:r>
            <w:r>
              <w:rPr>
                <w:rFonts w:hint="eastAsia" w:ascii="宋体" w:hAnsi="宋体" w:cs="宋体"/>
                <w:kern w:val="0"/>
                <w:sz w:val="24"/>
                <w:highlight w:val="none"/>
                <w:lang w:val="en-US" w:eastAsia="zh-CN"/>
              </w:rPr>
              <w:t>4</w:t>
            </w:r>
            <w:r>
              <w:rPr>
                <w:rFonts w:hint="eastAsia" w:ascii="宋体" w:hAnsi="宋体" w:cs="宋体"/>
                <w:kern w:val="0"/>
                <w:sz w:val="24"/>
                <w:highlight w:val="none"/>
              </w:rPr>
              <w:t>分，以此类推。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2" w:hRule="atLeast"/>
          <w:jc w:val="center"/>
        </w:trPr>
        <w:tc>
          <w:tcPr>
            <w:tcW w:w="358" w:type="pct"/>
            <w:tcBorders>
              <w:bottom w:val="single" w:color="auto" w:sz="4" w:space="0"/>
            </w:tcBorders>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6</w:t>
            </w:r>
          </w:p>
        </w:tc>
        <w:tc>
          <w:tcPr>
            <w:tcW w:w="546" w:type="pct"/>
            <w:tcBorders>
              <w:bottom w:val="single" w:color="auto" w:sz="4" w:space="0"/>
            </w:tcBorders>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分类装箱</w:t>
            </w:r>
          </w:p>
        </w:tc>
        <w:tc>
          <w:tcPr>
            <w:tcW w:w="1893" w:type="pct"/>
            <w:tcBorders>
              <w:bottom w:val="single" w:color="auto" w:sz="4" w:space="0"/>
            </w:tcBorders>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荤菜与蔬菜需分类装箱。</w:t>
            </w:r>
          </w:p>
        </w:tc>
        <w:tc>
          <w:tcPr>
            <w:tcW w:w="2202" w:type="pct"/>
            <w:tcBorders>
              <w:bottom w:val="single" w:color="auto" w:sz="4" w:space="0"/>
            </w:tcBorders>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荤菜与蔬菜混装、未使用专用周转框箱，每次</w:t>
            </w:r>
            <w:r>
              <w:rPr>
                <w:rFonts w:hint="eastAsia" w:ascii="宋体" w:hAnsi="宋体" w:cs="宋体"/>
                <w:kern w:val="0"/>
                <w:sz w:val="24"/>
                <w:highlight w:val="none"/>
                <w:lang w:eastAsia="zh-CN"/>
              </w:rPr>
              <w:t>至少</w:t>
            </w:r>
            <w:r>
              <w:rPr>
                <w:rFonts w:hint="eastAsia" w:ascii="宋体" w:hAnsi="宋体" w:cs="宋体"/>
                <w:kern w:val="0"/>
                <w:sz w:val="24"/>
                <w:highlight w:val="none"/>
              </w:rPr>
              <w:t>扣1分，以此类推。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1" w:hRule="atLeast"/>
          <w:jc w:val="center"/>
        </w:trPr>
        <w:tc>
          <w:tcPr>
            <w:tcW w:w="358"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7</w:t>
            </w:r>
          </w:p>
        </w:tc>
        <w:tc>
          <w:tcPr>
            <w:tcW w:w="546"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单据清晰</w:t>
            </w:r>
          </w:p>
        </w:tc>
        <w:tc>
          <w:tcPr>
            <w:tcW w:w="1893"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送货单(结算凭证)项目齐全,清晰。</w:t>
            </w:r>
          </w:p>
        </w:tc>
        <w:tc>
          <w:tcPr>
            <w:tcW w:w="2202"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项目不清晰、不完整一次</w:t>
            </w:r>
            <w:r>
              <w:rPr>
                <w:rFonts w:hint="eastAsia" w:ascii="宋体" w:hAnsi="宋体" w:cs="宋体"/>
                <w:kern w:val="0"/>
                <w:sz w:val="24"/>
                <w:highlight w:val="none"/>
                <w:lang w:eastAsia="zh-CN"/>
              </w:rPr>
              <w:t>至少</w:t>
            </w:r>
            <w:r>
              <w:rPr>
                <w:rFonts w:hint="eastAsia" w:ascii="宋体" w:hAnsi="宋体" w:cs="宋体"/>
                <w:kern w:val="0"/>
                <w:sz w:val="24"/>
                <w:highlight w:val="none"/>
              </w:rPr>
              <w:t>扣1分,以此类推。</w:t>
            </w:r>
          </w:p>
        </w:tc>
      </w:tr>
    </w:tbl>
    <w:p>
      <w:pPr>
        <w:rPr>
          <w:rFonts w:hint="eastAsia"/>
          <w:sz w:val="24"/>
          <w:highlight w:val="none"/>
        </w:rPr>
      </w:pPr>
      <w:r>
        <w:rPr>
          <w:rFonts w:hint="eastAsia"/>
          <w:sz w:val="24"/>
          <w:highlight w:val="none"/>
        </w:rPr>
        <w:t>注：本考核标准仅供参考，具体以平台考核表为准。</w:t>
      </w:r>
    </w:p>
    <w:p>
      <w:pPr>
        <w:rPr>
          <w:rFonts w:hint="eastAsia"/>
          <w:sz w:val="24"/>
          <w:highlight w:val="none"/>
        </w:rPr>
      </w:pPr>
      <w:r>
        <w:rPr>
          <w:rFonts w:hint="eastAsia"/>
          <w:sz w:val="24"/>
          <w:highlight w:val="none"/>
        </w:rPr>
        <w:br w:type="page"/>
      </w:r>
    </w:p>
    <w:p>
      <w:pPr>
        <w:pStyle w:val="2"/>
        <w:ind w:left="0" w:leftChars="0" w:firstLine="0" w:firstLineChars="0"/>
        <w:jc w:val="center"/>
        <w:outlineLvl w:val="0"/>
        <w:rPr>
          <w:rFonts w:hint="eastAsia" w:ascii="黑体" w:hAnsi="黑体" w:eastAsia="黑体" w:cs="黑体"/>
          <w:b/>
          <w:bCs/>
          <w:sz w:val="44"/>
          <w:szCs w:val="44"/>
          <w:highlight w:val="none"/>
          <w:lang w:val="en-US" w:eastAsia="zh-CN"/>
        </w:rPr>
      </w:pPr>
      <w:bookmarkStart w:id="34" w:name="_Toc16045"/>
      <w:r>
        <w:rPr>
          <w:rFonts w:hint="eastAsia" w:ascii="黑体" w:hAnsi="黑体" w:eastAsia="黑体" w:cs="黑体"/>
          <w:b/>
          <w:bCs/>
          <w:sz w:val="44"/>
          <w:szCs w:val="44"/>
          <w:highlight w:val="none"/>
          <w:lang w:val="en-US" w:eastAsia="zh-CN"/>
        </w:rPr>
        <w:t>第五章 资格审查文件格式</w:t>
      </w:r>
      <w:bookmarkEnd w:id="34"/>
    </w:p>
    <w:p>
      <w:pPr>
        <w:pStyle w:val="9"/>
        <w:overflowPunct w:val="0"/>
        <w:snapToGrid w:val="0"/>
        <w:jc w:val="center"/>
        <w:rPr>
          <w:rFonts w:ascii="微软雅黑" w:hAnsi="微软雅黑" w:eastAsia="微软雅黑" w:cs="微软雅黑"/>
          <w:b/>
          <w:bCs/>
          <w:sz w:val="52"/>
          <w:szCs w:val="52"/>
          <w:highlight w:val="none"/>
        </w:rPr>
      </w:pPr>
    </w:p>
    <w:p>
      <w:pPr>
        <w:pStyle w:val="9"/>
        <w:overflowPunct w:val="0"/>
        <w:snapToGrid w:val="0"/>
        <w:jc w:val="center"/>
        <w:rPr>
          <w:rFonts w:ascii="微软雅黑" w:hAnsi="微软雅黑" w:eastAsia="微软雅黑" w:cs="微软雅黑"/>
          <w:b/>
          <w:bCs/>
          <w:sz w:val="52"/>
          <w:szCs w:val="52"/>
          <w:highlight w:val="none"/>
        </w:rPr>
      </w:pPr>
    </w:p>
    <w:p>
      <w:pPr>
        <w:pStyle w:val="9"/>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资</w:t>
      </w:r>
    </w:p>
    <w:p>
      <w:pPr>
        <w:pStyle w:val="9"/>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格</w:t>
      </w:r>
    </w:p>
    <w:p>
      <w:pPr>
        <w:pStyle w:val="9"/>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审</w:t>
      </w:r>
    </w:p>
    <w:p>
      <w:pPr>
        <w:pStyle w:val="9"/>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查</w:t>
      </w:r>
    </w:p>
    <w:p>
      <w:pPr>
        <w:pStyle w:val="9"/>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材</w:t>
      </w:r>
    </w:p>
    <w:p>
      <w:pPr>
        <w:pStyle w:val="9"/>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料</w:t>
      </w:r>
    </w:p>
    <w:p>
      <w:pPr>
        <w:pStyle w:val="9"/>
        <w:overflowPunct w:val="0"/>
        <w:snapToGrid w:val="0"/>
        <w:spacing w:line="360" w:lineRule="auto"/>
        <w:rPr>
          <w:highlight w:val="none"/>
        </w:rPr>
      </w:pPr>
    </w:p>
    <w:p>
      <w:pPr>
        <w:pStyle w:val="9"/>
        <w:overflowPunct w:val="0"/>
        <w:snapToGrid w:val="0"/>
        <w:spacing w:line="360" w:lineRule="auto"/>
        <w:rPr>
          <w:highlight w:val="none"/>
        </w:rPr>
      </w:pPr>
    </w:p>
    <w:p>
      <w:pPr>
        <w:pStyle w:val="9"/>
        <w:overflowPunct w:val="0"/>
        <w:snapToGrid w:val="0"/>
        <w:spacing w:line="360" w:lineRule="auto"/>
        <w:rPr>
          <w:highlight w:val="none"/>
        </w:rPr>
      </w:pPr>
    </w:p>
    <w:p>
      <w:pPr>
        <w:overflowPunct w:val="0"/>
        <w:snapToGrid w:val="0"/>
        <w:spacing w:line="360" w:lineRule="auto"/>
        <w:ind w:firstLine="1680" w:firstLineChars="600"/>
        <w:rPr>
          <w:rFonts w:hint="eastAsia" w:ascii="宋体" w:hAnsi="宋体" w:cs="宋体"/>
          <w:bCs/>
          <w:sz w:val="28"/>
          <w:szCs w:val="28"/>
          <w:highlight w:val="none"/>
        </w:rPr>
      </w:pPr>
      <w:r>
        <w:rPr>
          <w:rFonts w:hint="eastAsia" w:ascii="宋体" w:hAnsi="宋体" w:cs="宋体"/>
          <w:bCs/>
          <w:sz w:val="28"/>
          <w:szCs w:val="28"/>
          <w:highlight w:val="none"/>
        </w:rPr>
        <w:t>项目编号：</w:t>
      </w:r>
    </w:p>
    <w:p>
      <w:pPr>
        <w:overflowPunct w:val="0"/>
        <w:snapToGrid w:val="0"/>
        <w:spacing w:line="360" w:lineRule="auto"/>
        <w:ind w:firstLine="1680" w:firstLineChars="600"/>
        <w:rPr>
          <w:rFonts w:hint="eastAsia" w:ascii="宋体" w:hAnsi="宋体" w:cs="宋体"/>
          <w:bCs/>
          <w:sz w:val="28"/>
          <w:szCs w:val="28"/>
          <w:highlight w:val="none"/>
        </w:rPr>
      </w:pPr>
      <w:r>
        <w:rPr>
          <w:rFonts w:hint="eastAsia" w:ascii="宋体" w:hAnsi="宋体" w:cs="宋体"/>
          <w:bCs/>
          <w:sz w:val="28"/>
          <w:szCs w:val="28"/>
          <w:highlight w:val="none"/>
        </w:rPr>
        <w:t>项目名称：</w:t>
      </w:r>
      <w:r>
        <w:rPr>
          <w:rFonts w:hint="eastAsia" w:ascii="宋体" w:hAnsi="宋体" w:cs="宋体"/>
          <w:bCs/>
          <w:sz w:val="28"/>
          <w:szCs w:val="28"/>
          <w:highlight w:val="none"/>
          <w:lang w:eastAsia="zh-CN"/>
        </w:rPr>
        <w:t>常州市金坛区公办中小学幼儿园食堂食材定点供应采购</w:t>
      </w:r>
      <w:r>
        <w:rPr>
          <w:rFonts w:hint="eastAsia" w:ascii="宋体" w:hAnsi="宋体" w:cs="宋体"/>
          <w:bCs/>
          <w:sz w:val="28"/>
          <w:szCs w:val="28"/>
          <w:highlight w:val="none"/>
        </w:rPr>
        <w:t xml:space="preserve"> </w:t>
      </w:r>
    </w:p>
    <w:p>
      <w:pPr>
        <w:overflowPunct w:val="0"/>
        <w:snapToGrid w:val="0"/>
        <w:spacing w:line="360" w:lineRule="auto"/>
        <w:ind w:firstLine="1680" w:firstLineChars="600"/>
        <w:rPr>
          <w:rFonts w:hint="eastAsia" w:ascii="宋体" w:hAnsi="宋体" w:cs="宋体"/>
          <w:bCs/>
          <w:sz w:val="28"/>
          <w:szCs w:val="28"/>
          <w:highlight w:val="none"/>
          <w:u w:val="single"/>
        </w:rPr>
      </w:pPr>
      <w:r>
        <w:rPr>
          <w:rFonts w:hint="eastAsia" w:ascii="宋体" w:hAnsi="宋体" w:cs="宋体"/>
          <w:bCs/>
          <w:sz w:val="28"/>
          <w:szCs w:val="28"/>
          <w:highlight w:val="none"/>
        </w:rPr>
        <w:t>供应商名称：</w:t>
      </w:r>
      <w:r>
        <w:rPr>
          <w:rFonts w:hint="eastAsia" w:ascii="宋体" w:hAnsi="宋体" w:cs="宋体"/>
          <w:bCs/>
          <w:sz w:val="28"/>
          <w:szCs w:val="28"/>
          <w:highlight w:val="none"/>
          <w:u w:val="single"/>
        </w:rPr>
        <w:t xml:space="preserve">                       </w:t>
      </w:r>
    </w:p>
    <w:p>
      <w:pPr>
        <w:overflowPunct w:val="0"/>
        <w:snapToGrid w:val="0"/>
        <w:spacing w:line="360" w:lineRule="auto"/>
        <w:ind w:firstLine="1680" w:firstLineChars="600"/>
        <w:rPr>
          <w:rFonts w:ascii="宋体" w:hAnsi="宋体" w:cs="宋体"/>
          <w:bCs/>
          <w:sz w:val="28"/>
          <w:szCs w:val="28"/>
          <w:highlight w:val="none"/>
          <w:u w:val="single"/>
        </w:rPr>
      </w:pPr>
      <w:r>
        <w:rPr>
          <w:rFonts w:hint="eastAsia"/>
          <w:sz w:val="28"/>
          <w:szCs w:val="28"/>
          <w:highlight w:val="none"/>
        </w:rPr>
        <w:t>供应商地址</w:t>
      </w:r>
      <w:r>
        <w:rPr>
          <w:rFonts w:hint="eastAsia" w:ascii="宋体" w:hAnsi="宋体" w:cs="宋体"/>
          <w:bCs/>
          <w:sz w:val="28"/>
          <w:szCs w:val="28"/>
          <w:highlight w:val="none"/>
        </w:rPr>
        <w:t>：</w:t>
      </w:r>
      <w:r>
        <w:rPr>
          <w:rFonts w:hint="eastAsia" w:ascii="宋体" w:hAnsi="宋体" w:cs="宋体"/>
          <w:bCs/>
          <w:sz w:val="28"/>
          <w:szCs w:val="28"/>
          <w:highlight w:val="none"/>
          <w:u w:val="single"/>
        </w:rPr>
        <w:t xml:space="preserve">                       </w:t>
      </w:r>
    </w:p>
    <w:p>
      <w:pPr>
        <w:overflowPunct w:val="0"/>
        <w:snapToGrid w:val="0"/>
        <w:spacing w:line="360" w:lineRule="auto"/>
        <w:ind w:firstLine="1680" w:firstLineChars="600"/>
        <w:rPr>
          <w:rFonts w:hint="eastAsia" w:ascii="宋体" w:hAnsi="宋体" w:cs="宋体"/>
          <w:bCs/>
          <w:sz w:val="28"/>
          <w:szCs w:val="28"/>
          <w:highlight w:val="none"/>
        </w:rPr>
      </w:pPr>
    </w:p>
    <w:p>
      <w:pPr>
        <w:rPr>
          <w:highlight w:val="none"/>
        </w:rPr>
      </w:pPr>
    </w:p>
    <w:p>
      <w:pPr>
        <w:pStyle w:val="9"/>
        <w:tabs>
          <w:tab w:val="left" w:pos="6804"/>
        </w:tabs>
        <w:overflowPunct w:val="0"/>
        <w:snapToGrid w:val="0"/>
        <w:spacing w:line="360" w:lineRule="auto"/>
        <w:jc w:val="center"/>
        <w:rPr>
          <w:rFonts w:hint="default"/>
          <w:highlight w:val="none"/>
        </w:rPr>
      </w:pPr>
      <w:r>
        <w:rPr>
          <w:rFonts w:hAnsi="宋体" w:cs="宋体"/>
          <w:bCs/>
          <w:sz w:val="28"/>
          <w:szCs w:val="28"/>
          <w:highlight w:val="none"/>
        </w:rPr>
        <w:t>2023年</w:t>
      </w:r>
      <w:r>
        <w:rPr>
          <w:rFonts w:hint="eastAsia" w:hAnsi="宋体" w:cs="宋体"/>
          <w:bCs/>
          <w:sz w:val="28"/>
          <w:szCs w:val="28"/>
          <w:highlight w:val="none"/>
          <w:lang w:val="en-US" w:eastAsia="zh-CN"/>
        </w:rPr>
        <w:t xml:space="preserve">  </w:t>
      </w:r>
      <w:r>
        <w:rPr>
          <w:rFonts w:hAnsi="宋体" w:cs="宋体"/>
          <w:bCs/>
          <w:sz w:val="28"/>
          <w:szCs w:val="28"/>
          <w:highlight w:val="none"/>
        </w:rPr>
        <w:t>月</w:t>
      </w:r>
    </w:p>
    <w:p>
      <w:pPr>
        <w:spacing w:line="360" w:lineRule="auto"/>
        <w:outlineLvl w:val="9"/>
        <w:rPr>
          <w:sz w:val="24"/>
          <w:highlight w:val="none"/>
        </w:rPr>
      </w:pPr>
    </w:p>
    <w:p>
      <w:pPr>
        <w:rPr>
          <w:color w:val="000000"/>
          <w:highlight w:val="none"/>
          <w:u w:val="none"/>
        </w:rPr>
      </w:pPr>
      <w:r>
        <w:rPr>
          <w:color w:val="000000"/>
          <w:highlight w:val="none"/>
          <w:u w:val="none"/>
        </w:rPr>
        <w:br w:type="page"/>
      </w:r>
    </w:p>
    <w:p>
      <w:pPr>
        <w:pStyle w:val="5"/>
        <w:rPr>
          <w:rFonts w:ascii="Times New Roman"/>
          <w:b w:val="0"/>
          <w:bCs/>
          <w:color w:val="000000"/>
          <w:highlight w:val="none"/>
          <w:u w:val="none"/>
        </w:rPr>
      </w:pPr>
      <w:r>
        <w:rPr>
          <w:color w:val="000000"/>
          <w:highlight w:val="none"/>
          <w:u w:val="none"/>
        </w:rPr>
        <w:t xml:space="preserve">1 </w:t>
      </w:r>
      <w:r>
        <w:rPr>
          <w:rFonts w:ascii="Times New Roman"/>
          <w:b w:val="0"/>
          <w:color w:val="000000"/>
          <w:highlight w:val="none"/>
          <w:u w:val="none"/>
        </w:rPr>
        <w:t>供应商资格声明</w:t>
      </w:r>
      <w:r>
        <w:rPr>
          <w:rFonts w:hint="eastAsia" w:ascii="Times New Roman"/>
          <w:b w:val="0"/>
          <w:color w:val="000000"/>
          <w:highlight w:val="none"/>
          <w:u w:val="none"/>
        </w:rPr>
        <w:t>函</w:t>
      </w:r>
      <w:r>
        <w:rPr>
          <w:rFonts w:ascii="Times New Roman"/>
          <w:b w:val="0"/>
          <w:color w:val="000000"/>
          <w:highlight w:val="none"/>
          <w:u w:val="none"/>
        </w:rPr>
        <w:t>（实质性格式）</w:t>
      </w:r>
    </w:p>
    <w:p>
      <w:pPr>
        <w:widowControl/>
        <w:adjustRightInd w:val="0"/>
        <w:snapToGrid w:val="0"/>
        <w:spacing w:before="120" w:beforeLines="50" w:line="360" w:lineRule="auto"/>
        <w:jc w:val="center"/>
        <w:rPr>
          <w:rFonts w:ascii="宋体" w:hAnsi="宋体" w:cs="宋体"/>
          <w:szCs w:val="21"/>
          <w:highlight w:val="none"/>
        </w:rPr>
      </w:pPr>
      <w:r>
        <w:rPr>
          <w:rFonts w:hint="eastAsia" w:ascii="宋体" w:hAnsi="宋体" w:cs="宋体"/>
          <w:b/>
          <w:sz w:val="28"/>
          <w:szCs w:val="28"/>
          <w:highlight w:val="none"/>
        </w:rPr>
        <w:t>供应商资格声明函</w:t>
      </w:r>
    </w:p>
    <w:p>
      <w:pPr>
        <w:pStyle w:val="6"/>
        <w:spacing w:line="460" w:lineRule="exact"/>
        <w:ind w:firstLine="480"/>
        <w:rPr>
          <w:highlight w:val="none"/>
          <w:u w:val="single"/>
        </w:rPr>
      </w:pPr>
      <w:r>
        <w:rPr>
          <w:rFonts w:hint="eastAsia"/>
          <w:highlight w:val="none"/>
        </w:rPr>
        <w:t>致：常州市金坛区教育局</w:t>
      </w:r>
    </w:p>
    <w:p>
      <w:pPr>
        <w:pStyle w:val="6"/>
        <w:spacing w:line="460" w:lineRule="exact"/>
        <w:ind w:firstLine="480"/>
        <w:rPr>
          <w:highlight w:val="none"/>
        </w:rPr>
      </w:pPr>
      <w:r>
        <w:rPr>
          <w:rFonts w:hint="eastAsia"/>
          <w:highlight w:val="none"/>
        </w:rPr>
        <w:t>按照磋商文件的规定，我单位郑重声明如下：</w:t>
      </w:r>
    </w:p>
    <w:p>
      <w:pPr>
        <w:pStyle w:val="6"/>
        <w:spacing w:line="460" w:lineRule="exact"/>
        <w:ind w:firstLine="480"/>
        <w:rPr>
          <w:highlight w:val="none"/>
        </w:rPr>
      </w:pPr>
      <w:r>
        <w:rPr>
          <w:rFonts w:hint="eastAsia"/>
          <w:highlight w:val="none"/>
        </w:rPr>
        <w:t>一、我单位是按照中华人民共和国法律规定登记注册的，注册地点为</w:t>
      </w:r>
      <w:r>
        <w:rPr>
          <w:rFonts w:hint="eastAsia"/>
          <w:highlight w:val="none"/>
          <w:u w:val="single"/>
        </w:rPr>
        <w:t xml:space="preserve">         </w:t>
      </w:r>
      <w:r>
        <w:rPr>
          <w:rFonts w:hint="eastAsia"/>
          <w:highlight w:val="none"/>
        </w:rPr>
        <w:t>，全称为</w:t>
      </w:r>
      <w:r>
        <w:rPr>
          <w:rFonts w:hint="eastAsia"/>
          <w:highlight w:val="none"/>
          <w:u w:val="single"/>
        </w:rPr>
        <w:t xml:space="preserve">        </w:t>
      </w:r>
      <w:r>
        <w:rPr>
          <w:rFonts w:hint="eastAsia"/>
          <w:highlight w:val="none"/>
        </w:rPr>
        <w:t>，统一社会信用代码为</w:t>
      </w:r>
      <w:r>
        <w:rPr>
          <w:rFonts w:hint="eastAsia"/>
          <w:highlight w:val="none"/>
          <w:u w:val="single"/>
        </w:rPr>
        <w:t xml:space="preserve">           </w:t>
      </w:r>
      <w:r>
        <w:rPr>
          <w:rFonts w:hint="eastAsia"/>
          <w:highlight w:val="none"/>
        </w:rPr>
        <w:t xml:space="preserve"> ，法定代表人（单位负责人）为</w:t>
      </w:r>
      <w:r>
        <w:rPr>
          <w:rFonts w:hint="eastAsia"/>
          <w:highlight w:val="none"/>
          <w:u w:val="single"/>
        </w:rPr>
        <w:t xml:space="preserve">         </w:t>
      </w:r>
      <w:r>
        <w:rPr>
          <w:rFonts w:hint="eastAsia"/>
          <w:highlight w:val="none"/>
        </w:rPr>
        <w:t>，具有独立承担民事责任的能力</w:t>
      </w:r>
      <w:r>
        <w:rPr>
          <w:rFonts w:hint="eastAsia"/>
          <w:b/>
          <w:highlight w:val="none"/>
        </w:rPr>
        <w:t>（如属于分公司经总公司授权参与项目，由总公司承担民事责任的，需提供总公司项目授权书）</w:t>
      </w:r>
      <w:r>
        <w:rPr>
          <w:rFonts w:hint="eastAsia"/>
          <w:highlight w:val="none"/>
        </w:rPr>
        <w:t>。</w:t>
      </w:r>
    </w:p>
    <w:p>
      <w:pPr>
        <w:pStyle w:val="6"/>
        <w:spacing w:line="460" w:lineRule="exact"/>
        <w:ind w:firstLine="480"/>
        <w:rPr>
          <w:highlight w:val="none"/>
        </w:rPr>
      </w:pPr>
      <w:r>
        <w:rPr>
          <w:rFonts w:hint="eastAsia"/>
          <w:highlight w:val="none"/>
        </w:rPr>
        <w:t>二、我单位未被“国家企业信用信息系统”列入经营异常名录或者严重违法企业名单。</w:t>
      </w:r>
    </w:p>
    <w:p>
      <w:pPr>
        <w:pStyle w:val="6"/>
        <w:spacing w:line="460" w:lineRule="exact"/>
        <w:ind w:firstLine="480"/>
        <w:rPr>
          <w:highlight w:val="none"/>
        </w:rPr>
      </w:pPr>
      <w:r>
        <w:rPr>
          <w:rFonts w:hint="eastAsia"/>
          <w:highlight w:val="none"/>
        </w:rPr>
        <w:t>三、我单位具有良好的商业信誉（指供应商经营状况良好，无本资格声明第十条情形）和健全的财务会计制度。</w:t>
      </w:r>
    </w:p>
    <w:p>
      <w:pPr>
        <w:pStyle w:val="6"/>
        <w:spacing w:line="460" w:lineRule="exact"/>
        <w:ind w:firstLine="480"/>
        <w:rPr>
          <w:highlight w:val="none"/>
        </w:rPr>
      </w:pPr>
      <w:r>
        <w:rPr>
          <w:rFonts w:hint="eastAsia"/>
          <w:highlight w:val="none"/>
        </w:rPr>
        <w:t>四、我单位依法进行纳税和社会保险申报并实际履行了义务。</w:t>
      </w:r>
    </w:p>
    <w:p>
      <w:pPr>
        <w:pStyle w:val="6"/>
        <w:spacing w:line="460" w:lineRule="exact"/>
        <w:ind w:firstLine="480"/>
        <w:rPr>
          <w:highlight w:val="none"/>
        </w:rPr>
      </w:pPr>
      <w:r>
        <w:rPr>
          <w:rFonts w:hint="eastAsia"/>
          <w:highlight w:val="none"/>
        </w:rPr>
        <w:t>五、我单位具有履行本项目采购合同所必需的设备和专业技术能力，并具有履行合同的良好</w:t>
      </w:r>
      <w:r>
        <w:rPr>
          <w:highlight w:val="none"/>
        </w:rPr>
        <w:t>记录</w:t>
      </w:r>
      <w:r>
        <w:rPr>
          <w:rFonts w:hint="eastAsia"/>
          <w:highlight w:val="none"/>
        </w:rPr>
        <w:t>。为履行本项采购合同我单位具备如下主要设备和主要专业技术能力:</w:t>
      </w:r>
    </w:p>
    <w:p>
      <w:pPr>
        <w:pStyle w:val="6"/>
        <w:spacing w:line="460" w:lineRule="exact"/>
        <w:ind w:firstLine="480"/>
        <w:rPr>
          <w:highlight w:val="none"/>
        </w:rPr>
      </w:pPr>
      <w:r>
        <w:rPr>
          <w:rFonts w:hint="eastAsia"/>
          <w:highlight w:val="none"/>
        </w:rPr>
        <w:t>主要设备有：</w:t>
      </w:r>
      <w:r>
        <w:rPr>
          <w:highlight w:val="none"/>
          <w:u w:val="single"/>
        </w:rPr>
        <w:t xml:space="preserve">            </w:t>
      </w:r>
    </w:p>
    <w:p>
      <w:pPr>
        <w:pStyle w:val="6"/>
        <w:spacing w:line="460" w:lineRule="exact"/>
        <w:ind w:firstLine="480"/>
        <w:rPr>
          <w:highlight w:val="none"/>
        </w:rPr>
      </w:pPr>
      <w:r>
        <w:rPr>
          <w:rFonts w:hint="eastAsia"/>
          <w:highlight w:val="none"/>
        </w:rPr>
        <w:t>主要专业技术能力有</w:t>
      </w:r>
      <w:r>
        <w:rPr>
          <w:rFonts w:hint="eastAsia"/>
          <w:highlight w:val="none"/>
          <w:u w:val="single"/>
        </w:rPr>
        <w:t xml:space="preserve">                 </w:t>
      </w:r>
    </w:p>
    <w:p>
      <w:pPr>
        <w:pStyle w:val="6"/>
        <w:spacing w:line="460" w:lineRule="exact"/>
        <w:ind w:firstLine="480"/>
        <w:rPr>
          <w:highlight w:val="none"/>
        </w:rPr>
      </w:pPr>
      <w:r>
        <w:rPr>
          <w:rFonts w:hint="eastAsia"/>
          <w:highlight w:val="none"/>
        </w:rPr>
        <w:t>六、我单位具备法律、行政法规规定的其他条件。</w:t>
      </w:r>
    </w:p>
    <w:p>
      <w:pPr>
        <w:pStyle w:val="6"/>
        <w:spacing w:line="460" w:lineRule="exact"/>
        <w:ind w:firstLine="480"/>
        <w:rPr>
          <w:highlight w:val="none"/>
        </w:rPr>
      </w:pPr>
      <w:r>
        <w:rPr>
          <w:rFonts w:hint="eastAsia"/>
          <w:highlight w:val="none"/>
        </w:rPr>
        <w:t>七、与我单位存在“单位负责人为同一人或者存在直接控股、管理关系”的其他单位信息如下（如无此情形的，填写“无”）：</w:t>
      </w:r>
    </w:p>
    <w:p>
      <w:pPr>
        <w:pStyle w:val="6"/>
        <w:spacing w:line="460" w:lineRule="exact"/>
        <w:ind w:firstLine="480"/>
        <w:rPr>
          <w:highlight w:val="none"/>
        </w:rPr>
      </w:pPr>
      <w:r>
        <w:rPr>
          <w:rFonts w:hint="eastAsia"/>
          <w:highlight w:val="none"/>
        </w:rPr>
        <w:t>1、与我单位的法定代表人（单位负责人）为同一人的其他单位如下：</w:t>
      </w:r>
      <w:r>
        <w:rPr>
          <w:rFonts w:hint="eastAsia"/>
          <w:highlight w:val="none"/>
          <w:u w:val="single"/>
        </w:rPr>
        <w:t xml:space="preserve">     </w:t>
      </w:r>
      <w:r>
        <w:rPr>
          <w:rFonts w:hint="eastAsia"/>
          <w:highlight w:val="none"/>
        </w:rPr>
        <w:t xml:space="preserve">          </w:t>
      </w:r>
    </w:p>
    <w:p>
      <w:pPr>
        <w:pStyle w:val="6"/>
        <w:spacing w:line="460" w:lineRule="exact"/>
        <w:ind w:firstLine="480"/>
        <w:rPr>
          <w:highlight w:val="none"/>
        </w:rPr>
      </w:pPr>
      <w:r>
        <w:rPr>
          <w:rFonts w:hint="eastAsia"/>
          <w:highlight w:val="none"/>
        </w:rPr>
        <w:t>2、我单位直接控股的其他单位如下：</w:t>
      </w:r>
      <w:r>
        <w:rPr>
          <w:rFonts w:hint="eastAsia"/>
          <w:highlight w:val="none"/>
          <w:u w:val="single"/>
        </w:rPr>
        <w:t xml:space="preserve">                    </w:t>
      </w:r>
      <w:r>
        <w:rPr>
          <w:rFonts w:hint="eastAsia"/>
          <w:highlight w:val="none"/>
        </w:rPr>
        <w:t xml:space="preserve"> </w:t>
      </w:r>
    </w:p>
    <w:p>
      <w:pPr>
        <w:pStyle w:val="6"/>
        <w:spacing w:line="460" w:lineRule="exact"/>
        <w:ind w:firstLine="480"/>
        <w:rPr>
          <w:highlight w:val="none"/>
        </w:rPr>
      </w:pPr>
      <w:r>
        <w:rPr>
          <w:rFonts w:hint="eastAsia"/>
          <w:highlight w:val="none"/>
        </w:rPr>
        <w:t>3、与我单位存在管理关系的其他单位如下：</w:t>
      </w:r>
      <w:r>
        <w:rPr>
          <w:rFonts w:hint="eastAsia"/>
          <w:highlight w:val="none"/>
          <w:u w:val="single"/>
        </w:rPr>
        <w:t xml:space="preserve">              </w:t>
      </w:r>
      <w:r>
        <w:rPr>
          <w:rFonts w:hint="eastAsia"/>
          <w:highlight w:val="none"/>
        </w:rPr>
        <w:t xml:space="preserve"> </w:t>
      </w:r>
    </w:p>
    <w:p>
      <w:pPr>
        <w:pStyle w:val="6"/>
        <w:spacing w:line="460" w:lineRule="exact"/>
        <w:ind w:firstLine="480"/>
        <w:rPr>
          <w:highlight w:val="none"/>
        </w:rPr>
      </w:pPr>
      <w:r>
        <w:rPr>
          <w:rFonts w:hint="eastAsia"/>
          <w:highlight w:val="none"/>
        </w:rPr>
        <w:t>八、</w:t>
      </w:r>
      <w:r>
        <w:rPr>
          <w:highlight w:val="none"/>
        </w:rPr>
        <w:t>我</w:t>
      </w:r>
      <w:r>
        <w:rPr>
          <w:rFonts w:hint="eastAsia"/>
          <w:highlight w:val="none"/>
        </w:rPr>
        <w:t>单位</w:t>
      </w:r>
      <w:r>
        <w:rPr>
          <w:highlight w:val="none"/>
        </w:rPr>
        <w:t>不属于为本项目提供整体设计、规范编制或者项目管理、监理、检测等服务的供应商。</w:t>
      </w:r>
    </w:p>
    <w:p>
      <w:pPr>
        <w:pStyle w:val="6"/>
        <w:spacing w:line="460" w:lineRule="exact"/>
        <w:ind w:firstLine="480"/>
        <w:rPr>
          <w:highlight w:val="none"/>
        </w:rPr>
      </w:pPr>
      <w:r>
        <w:rPr>
          <w:rFonts w:hint="eastAsia"/>
          <w:highlight w:val="none"/>
        </w:rPr>
        <w:t>九、</w:t>
      </w:r>
      <w:r>
        <w:rPr>
          <w:highlight w:val="none"/>
        </w:rPr>
        <w:t>我单位无以下不良信用记录情形：</w:t>
      </w:r>
    </w:p>
    <w:p>
      <w:pPr>
        <w:pStyle w:val="6"/>
        <w:spacing w:line="460" w:lineRule="exact"/>
        <w:ind w:firstLine="480"/>
        <w:rPr>
          <w:highlight w:val="none"/>
        </w:rPr>
      </w:pPr>
      <w:r>
        <w:rPr>
          <w:highlight w:val="none"/>
        </w:rPr>
        <w:t>1</w:t>
      </w:r>
      <w:r>
        <w:rPr>
          <w:rFonts w:hint="eastAsia"/>
          <w:highlight w:val="none"/>
        </w:rPr>
        <w:t>、在“信用中国”网站被列入失信被执行人和重大税收违法案件当事人名单；</w:t>
      </w:r>
    </w:p>
    <w:p>
      <w:pPr>
        <w:pStyle w:val="6"/>
        <w:spacing w:line="460" w:lineRule="exact"/>
        <w:ind w:firstLine="480"/>
        <w:rPr>
          <w:highlight w:val="none"/>
        </w:rPr>
      </w:pPr>
      <w:r>
        <w:rPr>
          <w:highlight w:val="none"/>
        </w:rPr>
        <w:t>2</w:t>
      </w:r>
      <w:r>
        <w:rPr>
          <w:rFonts w:hint="eastAsia"/>
          <w:highlight w:val="none"/>
        </w:rPr>
        <w:t>、在“中国政府采购网”网站被列入政府采购严重违法失信行为记录名单；</w:t>
      </w:r>
    </w:p>
    <w:p>
      <w:pPr>
        <w:pStyle w:val="6"/>
        <w:spacing w:line="460" w:lineRule="exact"/>
        <w:ind w:firstLine="480"/>
        <w:rPr>
          <w:highlight w:val="none"/>
        </w:rPr>
      </w:pPr>
    </w:p>
    <w:p>
      <w:pPr>
        <w:pStyle w:val="6"/>
        <w:spacing w:line="460" w:lineRule="exact"/>
        <w:ind w:firstLine="480"/>
        <w:rPr>
          <w:highlight w:val="none"/>
        </w:rPr>
      </w:pPr>
      <w:r>
        <w:rPr>
          <w:rFonts w:hint="eastAsia"/>
          <w:highlight w:val="none"/>
        </w:rPr>
        <w:t>我单位保证上述声明的事项都是真实的，如有虚假，我单位愿意承担相应的法律责任，并承担因此所造成的一切损失。</w:t>
      </w:r>
    </w:p>
    <w:p>
      <w:pPr>
        <w:pStyle w:val="6"/>
        <w:spacing w:line="460" w:lineRule="exact"/>
        <w:ind w:firstLine="480"/>
        <w:rPr>
          <w:highlight w:val="none"/>
        </w:rPr>
      </w:pPr>
    </w:p>
    <w:p>
      <w:pPr>
        <w:pStyle w:val="6"/>
        <w:spacing w:line="460" w:lineRule="exact"/>
        <w:ind w:firstLine="480"/>
        <w:rPr>
          <w:highlight w:val="none"/>
        </w:rPr>
      </w:pPr>
    </w:p>
    <w:p>
      <w:pPr>
        <w:pStyle w:val="6"/>
        <w:spacing w:line="460" w:lineRule="exact"/>
        <w:ind w:firstLine="480"/>
        <w:rPr>
          <w:highlight w:val="none"/>
        </w:rPr>
      </w:pPr>
      <w:r>
        <w:rPr>
          <w:rFonts w:hint="eastAsia"/>
          <w:highlight w:val="none"/>
        </w:rPr>
        <w:t>                                            供应商：（加盖公章）</w:t>
      </w:r>
    </w:p>
    <w:p>
      <w:pPr>
        <w:pStyle w:val="6"/>
        <w:spacing w:line="460" w:lineRule="exact"/>
        <w:ind w:firstLine="480"/>
        <w:rPr>
          <w:highlight w:val="none"/>
        </w:rPr>
      </w:pPr>
      <w:r>
        <w:rPr>
          <w:rFonts w:hint="eastAsia"/>
          <w:highlight w:val="none"/>
        </w:rPr>
        <w:t>                                           法定代表人（或单位负责人）签字或盖章：</w:t>
      </w:r>
    </w:p>
    <w:p>
      <w:pPr>
        <w:pStyle w:val="6"/>
        <w:spacing w:line="460" w:lineRule="exact"/>
        <w:ind w:firstLine="4920" w:firstLineChars="2050"/>
        <w:rPr>
          <w:rFonts w:hint="eastAsia"/>
          <w:highlight w:val="none"/>
        </w:rPr>
      </w:pPr>
      <w:r>
        <w:rPr>
          <w:rFonts w:hint="eastAsia"/>
          <w:highlight w:val="none"/>
        </w:rPr>
        <w:t>日期：    年    月    日</w:t>
      </w:r>
    </w:p>
    <w:p>
      <w:pPr>
        <w:spacing w:line="360" w:lineRule="auto"/>
        <w:rPr>
          <w:rFonts w:hint="eastAsia"/>
          <w:sz w:val="24"/>
          <w:highlight w:val="none"/>
        </w:rPr>
      </w:pPr>
    </w:p>
    <w:p>
      <w:pPr>
        <w:spacing w:line="360" w:lineRule="auto"/>
        <w:rPr>
          <w:rFonts w:hint="eastAsia"/>
          <w:sz w:val="24"/>
          <w:highlight w:val="none"/>
        </w:rPr>
      </w:pPr>
    </w:p>
    <w:p>
      <w:pPr>
        <w:spacing w:line="360" w:lineRule="auto"/>
        <w:rPr>
          <w:rFonts w:hint="eastAsia"/>
          <w:sz w:val="24"/>
          <w:highlight w:val="none"/>
        </w:rPr>
      </w:pPr>
    </w:p>
    <w:p>
      <w:pPr>
        <w:spacing w:line="360" w:lineRule="auto"/>
        <w:rPr>
          <w:sz w:val="24"/>
          <w:highlight w:val="none"/>
        </w:rPr>
      </w:pPr>
      <w:r>
        <w:rPr>
          <w:sz w:val="24"/>
          <w:highlight w:val="none"/>
        </w:rPr>
        <w:t>说明：</w:t>
      </w:r>
      <w:r>
        <w:rPr>
          <w:rFonts w:hint="eastAsia"/>
          <w:sz w:val="24"/>
          <w:highlight w:val="none"/>
        </w:rPr>
        <w:t>供应商承诺不实的，“提供虚假材料谋取中标、成交的”有关规定予以处理</w:t>
      </w:r>
      <w:r>
        <w:rPr>
          <w:sz w:val="24"/>
          <w:highlight w:val="none"/>
        </w:rPr>
        <w:t>。</w:t>
      </w:r>
    </w:p>
    <w:p>
      <w:pPr>
        <w:pStyle w:val="7"/>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sectPr>
      <w:footerReference r:id="rId3" w:type="default"/>
      <w:pgSz w:w="11906" w:h="16838"/>
      <w:pgMar w:top="850" w:right="1800" w:bottom="85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7D4772"/>
    <w:multiLevelType w:val="singleLevel"/>
    <w:tmpl w:val="267D4772"/>
    <w:lvl w:ilvl="0" w:tentative="0">
      <w:start w:val="1"/>
      <w:numFmt w:val="decimal"/>
      <w:suff w:val="nothing"/>
      <w:lvlText w:val="%1、"/>
      <w:lvlJc w:val="left"/>
    </w:lvl>
  </w:abstractNum>
  <w:abstractNum w:abstractNumId="1">
    <w:nsid w:val="306487B7"/>
    <w:multiLevelType w:val="singleLevel"/>
    <w:tmpl w:val="306487B7"/>
    <w:lvl w:ilvl="0" w:tentative="0">
      <w:start w:val="4"/>
      <w:numFmt w:val="chineseCounting"/>
      <w:suff w:val="nothing"/>
      <w:lvlText w:val="%1、"/>
      <w:lvlJc w:val="left"/>
      <w:rPr>
        <w:rFonts w:hint="eastAsia"/>
      </w:rPr>
    </w:lvl>
  </w:abstractNum>
  <w:abstractNum w:abstractNumId="2">
    <w:nsid w:val="7FE195A9"/>
    <w:multiLevelType w:val="singleLevel"/>
    <w:tmpl w:val="7FE195A9"/>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3OWQ1YjY0OTI5ZjAxMDU5ZWVlOTExOTEyMDQzOTcifQ=="/>
  </w:docVars>
  <w:rsids>
    <w:rsidRoot w:val="55590ADA"/>
    <w:rsid w:val="017E6F26"/>
    <w:rsid w:val="02C72207"/>
    <w:rsid w:val="03140DA8"/>
    <w:rsid w:val="05595CE0"/>
    <w:rsid w:val="06C13B3D"/>
    <w:rsid w:val="06E16540"/>
    <w:rsid w:val="09144C38"/>
    <w:rsid w:val="0CE93A79"/>
    <w:rsid w:val="126D2DCB"/>
    <w:rsid w:val="12B44556"/>
    <w:rsid w:val="14AE7536"/>
    <w:rsid w:val="15DF7BB5"/>
    <w:rsid w:val="16404E79"/>
    <w:rsid w:val="166A2B17"/>
    <w:rsid w:val="16726F3A"/>
    <w:rsid w:val="194B54E8"/>
    <w:rsid w:val="1ABB680E"/>
    <w:rsid w:val="1DB01DBE"/>
    <w:rsid w:val="1E2D6DEF"/>
    <w:rsid w:val="1F0650CE"/>
    <w:rsid w:val="1F87271F"/>
    <w:rsid w:val="1FB34278"/>
    <w:rsid w:val="1FDC50EC"/>
    <w:rsid w:val="208C6B12"/>
    <w:rsid w:val="20AB775B"/>
    <w:rsid w:val="21093CBF"/>
    <w:rsid w:val="220D028A"/>
    <w:rsid w:val="255B2F57"/>
    <w:rsid w:val="25AE3087"/>
    <w:rsid w:val="26337C4D"/>
    <w:rsid w:val="267811D6"/>
    <w:rsid w:val="26FB054E"/>
    <w:rsid w:val="28420138"/>
    <w:rsid w:val="28C13CF8"/>
    <w:rsid w:val="29373393"/>
    <w:rsid w:val="2AA1765E"/>
    <w:rsid w:val="2C5B3C4C"/>
    <w:rsid w:val="2CEE4D09"/>
    <w:rsid w:val="2DC07DFB"/>
    <w:rsid w:val="2DE1756A"/>
    <w:rsid w:val="2ECA3355"/>
    <w:rsid w:val="303B5F84"/>
    <w:rsid w:val="30A9101A"/>
    <w:rsid w:val="33793E0C"/>
    <w:rsid w:val="34050C5E"/>
    <w:rsid w:val="340918B2"/>
    <w:rsid w:val="36B44275"/>
    <w:rsid w:val="36F01751"/>
    <w:rsid w:val="39BF3D06"/>
    <w:rsid w:val="39F5707E"/>
    <w:rsid w:val="3B7E311A"/>
    <w:rsid w:val="3DED2C82"/>
    <w:rsid w:val="3EB4331E"/>
    <w:rsid w:val="410C0680"/>
    <w:rsid w:val="42295EB2"/>
    <w:rsid w:val="42890CAC"/>
    <w:rsid w:val="43CA646B"/>
    <w:rsid w:val="45903938"/>
    <w:rsid w:val="469149E0"/>
    <w:rsid w:val="48054931"/>
    <w:rsid w:val="4A2531C7"/>
    <w:rsid w:val="4B977F95"/>
    <w:rsid w:val="4E435C57"/>
    <w:rsid w:val="4FAC0E3A"/>
    <w:rsid w:val="5107792A"/>
    <w:rsid w:val="53D00039"/>
    <w:rsid w:val="53D22156"/>
    <w:rsid w:val="540B699E"/>
    <w:rsid w:val="54181E8F"/>
    <w:rsid w:val="555411D1"/>
    <w:rsid w:val="55590ADA"/>
    <w:rsid w:val="55B42F1C"/>
    <w:rsid w:val="565A678F"/>
    <w:rsid w:val="56D15DD1"/>
    <w:rsid w:val="5818698A"/>
    <w:rsid w:val="5ACD3044"/>
    <w:rsid w:val="5B7B44B9"/>
    <w:rsid w:val="5CBE5B3D"/>
    <w:rsid w:val="5CE84AF5"/>
    <w:rsid w:val="61371BA7"/>
    <w:rsid w:val="62B363AF"/>
    <w:rsid w:val="62F273EA"/>
    <w:rsid w:val="632851E9"/>
    <w:rsid w:val="643A5574"/>
    <w:rsid w:val="66EE3661"/>
    <w:rsid w:val="67902011"/>
    <w:rsid w:val="69DA57C5"/>
    <w:rsid w:val="6B15282D"/>
    <w:rsid w:val="6BA308F1"/>
    <w:rsid w:val="6BB12141"/>
    <w:rsid w:val="6CB378E7"/>
    <w:rsid w:val="6CDE580B"/>
    <w:rsid w:val="6DF84DC4"/>
    <w:rsid w:val="6F440EC5"/>
    <w:rsid w:val="6FA70487"/>
    <w:rsid w:val="70286453"/>
    <w:rsid w:val="70D95ACE"/>
    <w:rsid w:val="718801FD"/>
    <w:rsid w:val="747C3A94"/>
    <w:rsid w:val="75D21A46"/>
    <w:rsid w:val="76291BD2"/>
    <w:rsid w:val="77E3641A"/>
    <w:rsid w:val="78970D25"/>
    <w:rsid w:val="79F14969"/>
    <w:rsid w:val="7AF05B67"/>
    <w:rsid w:val="7CC7347F"/>
    <w:rsid w:val="7DCC76C3"/>
    <w:rsid w:val="7DFC494D"/>
    <w:rsid w:val="7E1846B6"/>
    <w:rsid w:val="7FA06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line="480" w:lineRule="exact"/>
      <w:ind w:left="420" w:leftChars="200" w:firstLine="420" w:firstLineChars="200"/>
    </w:pPr>
    <w:rPr>
      <w:szCs w:val="20"/>
    </w:rPr>
  </w:style>
  <w:style w:type="paragraph" w:styleId="3">
    <w:name w:val="Body Text Indent"/>
    <w:basedOn w:val="1"/>
    <w:next w:val="1"/>
    <w:qFormat/>
    <w:uiPriority w:val="0"/>
    <w:pPr>
      <w:spacing w:line="360" w:lineRule="auto"/>
      <w:ind w:firstLine="570"/>
    </w:pPr>
    <w:rPr>
      <w:sz w:val="24"/>
    </w:rPr>
  </w:style>
  <w:style w:type="paragraph" w:styleId="6">
    <w:name w:val="Normal Indent"/>
    <w:basedOn w:val="1"/>
    <w:next w:val="1"/>
    <w:qFormat/>
    <w:uiPriority w:val="0"/>
    <w:pPr>
      <w:autoSpaceDE w:val="0"/>
      <w:autoSpaceDN w:val="0"/>
      <w:adjustRightInd w:val="0"/>
      <w:ind w:firstLine="420"/>
      <w:jc w:val="left"/>
    </w:pPr>
    <w:rPr>
      <w:rFonts w:ascii="宋体"/>
      <w:sz w:val="24"/>
    </w:rPr>
  </w:style>
  <w:style w:type="paragraph" w:styleId="7">
    <w:name w:val="Body Text"/>
    <w:basedOn w:val="1"/>
    <w:qFormat/>
    <w:uiPriority w:val="0"/>
    <w:pPr>
      <w:spacing w:after="120" w:afterLines="0" w:afterAutospacing="0"/>
    </w:pPr>
    <w:rPr>
      <w:rFonts w:asciiTheme="minorAscii" w:hAnsiTheme="minorAscii"/>
    </w:rPr>
  </w:style>
  <w:style w:type="paragraph" w:styleId="8">
    <w:name w:val="toc 3"/>
    <w:basedOn w:val="1"/>
    <w:next w:val="1"/>
    <w:qFormat/>
    <w:uiPriority w:val="0"/>
    <w:pPr>
      <w:spacing w:line="240" w:lineRule="auto"/>
      <w:ind w:left="840" w:leftChars="400"/>
    </w:pPr>
    <w:rPr>
      <w:rFonts w:ascii="Calibri" w:hAnsi="Calibri" w:eastAsia="宋体"/>
      <w:sz w:val="24"/>
    </w:rPr>
  </w:style>
  <w:style w:type="paragraph" w:styleId="9">
    <w:name w:val="Plain Text"/>
    <w:basedOn w:val="1"/>
    <w:next w:val="6"/>
    <w:qFormat/>
    <w:uiPriority w:val="0"/>
    <w:rPr>
      <w:rFonts w:hint="eastAsia" w:ascii="宋体" w:hAnsi="Courier New"/>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pPr>
      <w:tabs>
        <w:tab w:val="left" w:pos="1050"/>
        <w:tab w:val="right" w:leader="dot" w:pos="8296"/>
      </w:tabs>
      <w:spacing w:before="360" w:line="200" w:lineRule="exact"/>
      <w:ind w:firstLine="0" w:firstLineChars="0"/>
      <w:jc w:val="left"/>
    </w:pPr>
    <w:rPr>
      <w:rFonts w:ascii="Cambria" w:hAnsi="Cambria" w:eastAsia="宋体"/>
      <w:b/>
      <w:bCs/>
      <w:caps/>
      <w:sz w:val="24"/>
    </w:rPr>
  </w:style>
  <w:style w:type="paragraph" w:styleId="13">
    <w:name w:val="toc 2"/>
    <w:basedOn w:val="1"/>
    <w:next w:val="1"/>
    <w:qFormat/>
    <w:uiPriority w:val="0"/>
    <w:pPr>
      <w:tabs>
        <w:tab w:val="left" w:pos="6090"/>
      </w:tabs>
      <w:adjustRightInd w:val="0"/>
      <w:spacing w:before="75" w:beforeLines="0" w:beforeAutospacing="1" w:afterLines="0" w:afterAutospacing="1" w:line="240" w:lineRule="auto"/>
      <w:ind w:left="420" w:leftChars="200" w:firstLine="0" w:firstLineChars="0"/>
    </w:pPr>
    <w:rPr>
      <w:rFonts w:ascii="宋体" w:hAnsi="宋体" w:eastAsia="宋体"/>
      <w:kern w:val="10"/>
      <w:sz w:val="24"/>
      <w:szCs w:val="20"/>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样式1"/>
    <w:basedOn w:val="1"/>
    <w:next w:val="7"/>
    <w:qFormat/>
    <w:uiPriority w:val="0"/>
    <w:rPr>
      <w:rFonts w:hint="default" w:asciiTheme="minorAscii" w:hAnsiTheme="minorAscii"/>
    </w:rPr>
  </w:style>
  <w:style w:type="paragraph" w:customStyle="1" w:styleId="18">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19">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20">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11884</Words>
  <Characters>12557</Characters>
  <Lines>0</Lines>
  <Paragraphs>0</Paragraphs>
  <TotalTime>0</TotalTime>
  <ScaleCrop>false</ScaleCrop>
  <LinksUpToDate>false</LinksUpToDate>
  <CharactersWithSpaces>13205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2023-07-10T00:33:00Z</dcterms:created>
  <dc:creator>汤丽华</dc:creator>
  <cp:lastModifiedBy>汤丽华</cp:lastModifiedBy>
  <dcterms:modified xsi:type="dcterms:W3CDTF">2023-07-17T08:45:05Z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9E64768FD9F14B599E784C66A85E4DC7_13</vt:lpwstr>
  </property>
</Properties>
</file>