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2"/>
          <w:szCs w:val="32"/>
        </w:rPr>
        <w:t>常州市金坛区青少年体校办公区维修改造工程编制说明</w:t>
      </w:r>
    </w:p>
    <w:p>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一、工程概况</w:t>
      </w:r>
    </w:p>
    <w:p>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本工程为常州市金坛区青少年体校办公区维修改造工程，建设规模、工程特征、施工现场实际情况、交通运输情况、自然地理条件、环境保护要求等见招标文件，并要求投标单位现场踏勘。</w:t>
      </w:r>
    </w:p>
    <w:p>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二、编制依据</w:t>
      </w:r>
    </w:p>
    <w:p>
      <w:pPr>
        <w:numPr>
          <w:ilvl w:val="0"/>
          <w:numId w:val="1"/>
        </w:numPr>
        <w:tabs>
          <w:tab w:val="left" w:pos="360"/>
          <w:tab w:val="clear" w:pos="780"/>
        </w:tabs>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根据现场踏勘、测量、相关设计施工规范，编制清单。</w:t>
      </w:r>
    </w:p>
    <w:p>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中华人民共和国建设部《建设工程工程量清单计价规范》（GB50500-2013）。</w:t>
      </w:r>
    </w:p>
    <w:p>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江苏省建设工程工程量清单计价项目指引》、《2014年江苏省建筑与装饰工程计价表》、《2014年江苏省市政工程计价表》、《2014年江苏省安装工程计价表》、《江苏省房屋修缮工程计价表》（2009年）；《江苏省建设工程费用定额》（2014年）及营改增后调整内容（依据苏建价【2016】154号文件、常建【2016】94号及苏建函价【2019】178号文）、《省住房城乡建设厅关于调整建设工程按质论价等费用计取方法的公告》（省建设厅公告【2018】第24号文）、省建设厅公告【2019】第19号文等。</w:t>
      </w:r>
    </w:p>
    <w:p>
      <w:pPr>
        <w:pStyle w:val="9"/>
        <w:numPr>
          <w:ilvl w:val="0"/>
          <w:numId w:val="1"/>
        </w:numPr>
        <w:spacing w:line="360" w:lineRule="auto"/>
        <w:ind w:firstLineChars="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本项目工程各单位工程总价措施、规费及税金取费如下表：</w:t>
      </w:r>
    </w:p>
    <w:tbl>
      <w:tblPr>
        <w:tblStyle w:val="5"/>
        <w:tblpPr w:leftFromText="180" w:rightFromText="180" w:vertAnchor="page" w:horzAnchor="margin" w:tblpY="10118"/>
        <w:tblW w:w="859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38"/>
        <w:gridCol w:w="844"/>
        <w:gridCol w:w="703"/>
        <w:gridCol w:w="703"/>
        <w:gridCol w:w="888"/>
        <w:gridCol w:w="844"/>
        <w:gridCol w:w="704"/>
        <w:gridCol w:w="844"/>
        <w:gridCol w:w="844"/>
        <w:gridCol w:w="779"/>
        <w:gridCol w:w="7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55" w:hRule="atLeast"/>
        </w:trPr>
        <w:tc>
          <w:tcPr>
            <w:tcW w:w="738"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工程名称</w:t>
            </w:r>
          </w:p>
        </w:tc>
        <w:tc>
          <w:tcPr>
            <w:tcW w:w="844"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安全文明施工基本费</w:t>
            </w:r>
          </w:p>
        </w:tc>
        <w:tc>
          <w:tcPr>
            <w:tcW w:w="703"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扬尘污染防治增加费</w:t>
            </w:r>
          </w:p>
        </w:tc>
        <w:tc>
          <w:tcPr>
            <w:tcW w:w="703"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夜间施工</w:t>
            </w:r>
          </w:p>
        </w:tc>
        <w:tc>
          <w:tcPr>
            <w:tcW w:w="888"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冬雨季施工</w:t>
            </w:r>
          </w:p>
        </w:tc>
        <w:tc>
          <w:tcPr>
            <w:tcW w:w="844"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已完成工程及设备保护</w:t>
            </w:r>
          </w:p>
        </w:tc>
        <w:tc>
          <w:tcPr>
            <w:tcW w:w="704"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临时设施</w:t>
            </w:r>
          </w:p>
        </w:tc>
        <w:tc>
          <w:tcPr>
            <w:tcW w:w="844"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建筑工人实名制费用</w:t>
            </w:r>
          </w:p>
        </w:tc>
        <w:tc>
          <w:tcPr>
            <w:tcW w:w="844"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社会保障费</w:t>
            </w:r>
          </w:p>
        </w:tc>
        <w:tc>
          <w:tcPr>
            <w:tcW w:w="779"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公积金</w:t>
            </w:r>
          </w:p>
        </w:tc>
        <w:tc>
          <w:tcPr>
            <w:tcW w:w="704"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38"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修缮工程</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1.5</w:t>
            </w:r>
          </w:p>
        </w:tc>
        <w:tc>
          <w:tcPr>
            <w:tcW w:w="703"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0.21</w:t>
            </w:r>
          </w:p>
        </w:tc>
        <w:tc>
          <w:tcPr>
            <w:tcW w:w="703"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0.08</w:t>
            </w:r>
          </w:p>
        </w:tc>
        <w:tc>
          <w:tcPr>
            <w:tcW w:w="888"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0.18</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0.05</w:t>
            </w:r>
          </w:p>
        </w:tc>
        <w:tc>
          <w:tcPr>
            <w:tcW w:w="70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0.05</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3.8</w:t>
            </w:r>
          </w:p>
        </w:tc>
        <w:tc>
          <w:tcPr>
            <w:tcW w:w="779"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0.67</w:t>
            </w:r>
          </w:p>
        </w:tc>
        <w:tc>
          <w:tcPr>
            <w:tcW w:w="70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38" w:type="dxa"/>
            <w:vAlign w:val="center"/>
          </w:tcPr>
          <w:p>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安装工程</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1.5</w:t>
            </w:r>
          </w:p>
        </w:tc>
        <w:tc>
          <w:tcPr>
            <w:tcW w:w="703"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0.21</w:t>
            </w:r>
          </w:p>
        </w:tc>
        <w:tc>
          <w:tcPr>
            <w:tcW w:w="703"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0.08</w:t>
            </w:r>
          </w:p>
        </w:tc>
        <w:tc>
          <w:tcPr>
            <w:tcW w:w="888"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0.09</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0.05</w:t>
            </w:r>
          </w:p>
        </w:tc>
        <w:tc>
          <w:tcPr>
            <w:tcW w:w="70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1.3</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0.03</w:t>
            </w:r>
          </w:p>
        </w:tc>
        <w:tc>
          <w:tcPr>
            <w:tcW w:w="84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2.4</w:t>
            </w:r>
          </w:p>
        </w:tc>
        <w:tc>
          <w:tcPr>
            <w:tcW w:w="779"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0.42</w:t>
            </w:r>
          </w:p>
        </w:tc>
        <w:tc>
          <w:tcPr>
            <w:tcW w:w="704" w:type="dxa"/>
            <w:vAlign w:val="center"/>
          </w:tcPr>
          <w:p>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9</w:t>
            </w:r>
          </w:p>
        </w:tc>
      </w:tr>
    </w:tbl>
    <w:p>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材料价格</w:t>
      </w:r>
      <w:r>
        <w:rPr>
          <w:rFonts w:hint="eastAsia" w:asciiTheme="minorEastAsia" w:hAnsiTheme="minorEastAsia" w:eastAsiaTheme="minorEastAsia" w:cstheme="minorEastAsia"/>
          <w:kern w:val="0"/>
          <w:sz w:val="24"/>
        </w:rPr>
        <w:t>：按202</w:t>
      </w:r>
      <w:r>
        <w:rPr>
          <w:rFonts w:hint="eastAsia" w:asciiTheme="minorEastAsia" w:hAnsiTheme="minorEastAsia" w:cstheme="minorEastAsia"/>
          <w:kern w:val="0"/>
          <w:sz w:val="24"/>
          <w:lang w:val="en-US" w:eastAsia="zh-CN"/>
        </w:rPr>
        <w:t>4</w:t>
      </w:r>
      <w:r>
        <w:rPr>
          <w:rFonts w:hint="eastAsia" w:asciiTheme="minorEastAsia" w:hAnsiTheme="minorEastAsia" w:eastAsiaTheme="minorEastAsia" w:cstheme="minorEastAsia"/>
          <w:kern w:val="0"/>
          <w:sz w:val="24"/>
        </w:rPr>
        <w:t>年</w:t>
      </w:r>
      <w:r>
        <w:rPr>
          <w:rFonts w:hint="eastAsia" w:asciiTheme="minorEastAsia" w:hAnsiTheme="minorEastAsia" w:eastAsiaTheme="minorEastAsia" w:cstheme="minorEastAsia"/>
          <w:kern w:val="0"/>
          <w:sz w:val="24"/>
          <w:lang w:val="en-US" w:eastAsia="zh-CN"/>
        </w:rPr>
        <w:t>1</w:t>
      </w:r>
      <w:r>
        <w:rPr>
          <w:rFonts w:hint="eastAsia" w:asciiTheme="minorEastAsia" w:hAnsiTheme="minorEastAsia" w:eastAsiaTheme="minorEastAsia" w:cstheme="minorEastAsia"/>
          <w:kern w:val="0"/>
          <w:sz w:val="24"/>
        </w:rPr>
        <w:t>月份常州工程造价信息指导价及市场询价计入（以上均为除税价）。</w:t>
      </w:r>
    </w:p>
    <w:p>
      <w:pPr>
        <w:numPr>
          <w:ilvl w:val="0"/>
          <w:numId w:val="1"/>
        </w:numPr>
        <w:spacing w:line="360" w:lineRule="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本工程人工费按苏建函价[202</w:t>
      </w:r>
      <w:r>
        <w:rPr>
          <w:rFonts w:hint="eastAsia" w:asciiTheme="minorEastAsia" w:hAnsiTheme="minorEastAsia" w:eastAsiaTheme="minorEastAsia" w:cstheme="minorEastAsia"/>
          <w:kern w:val="0"/>
          <w:sz w:val="24"/>
          <w:lang w:val="en-US" w:eastAsia="zh-CN"/>
        </w:rPr>
        <w:t>3</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391</w:t>
      </w:r>
      <w:r>
        <w:rPr>
          <w:rFonts w:hint="eastAsia" w:asciiTheme="minorEastAsia" w:hAnsiTheme="minorEastAsia" w:eastAsiaTheme="minorEastAsia" w:cstheme="minorEastAsia"/>
          <w:kern w:val="0"/>
          <w:sz w:val="24"/>
        </w:rPr>
        <w:t>号文执行。</w:t>
      </w:r>
    </w:p>
    <w:p>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由于维修项目零星、场地散，现场情况复杂，成品保护要求高，材料、垃圾受场地的限制,必须要求:运输通道铺保护板、材料及垃圾人工挑台</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kern w:val="0"/>
          <w:sz w:val="24"/>
        </w:rPr>
        <w:t>人力车二次搬运，涂料作业不允许交叉污染，工完场清；因此二次搬运费、成品保护费、垂直运输费、脚手架等措施费用包干，不另行签证，价格不调整。</w:t>
      </w:r>
    </w:p>
    <w:p>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施工期间如损坏、污染其原校园设备、场地等设施必须按原样复原，不另行签证，价格不调整。</w:t>
      </w:r>
      <w:r>
        <w:rPr>
          <w:rFonts w:hint="eastAsia" w:asciiTheme="minorEastAsia" w:hAnsiTheme="minorEastAsia" w:eastAsiaTheme="minorEastAsia" w:cstheme="minorEastAsia"/>
          <w:kern w:val="0"/>
          <w:sz w:val="24"/>
          <w:lang w:val="en-US" w:eastAsia="zh-CN"/>
        </w:rPr>
        <w:t xml:space="preserve"> </w:t>
      </w:r>
    </w:p>
    <w:p>
      <w:pPr>
        <w:spacing w:line="360" w:lineRule="auto"/>
        <w:rPr>
          <w:rFonts w:hint="eastAsia" w:asciiTheme="minorEastAsia" w:hAnsiTheme="minorEastAsia" w:eastAsiaTheme="minorEastAsia" w:cstheme="minorEastAsia"/>
          <w:b/>
          <w:bCs/>
          <w:kern w:val="0"/>
          <w:sz w:val="30"/>
          <w:szCs w:val="30"/>
        </w:rPr>
      </w:pPr>
      <w:r>
        <w:rPr>
          <w:rFonts w:hint="eastAsia" w:asciiTheme="minorEastAsia" w:hAnsiTheme="minorEastAsia" w:eastAsiaTheme="minorEastAsia" w:cstheme="minorEastAsia"/>
          <w:b/>
          <w:bCs/>
          <w:sz w:val="28"/>
          <w:szCs w:val="28"/>
        </w:rPr>
        <w:t>三、材料品牌选择</w:t>
      </w:r>
    </w:p>
    <w:tbl>
      <w:tblPr>
        <w:tblStyle w:val="5"/>
        <w:tblW w:w="832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418"/>
        <w:gridCol w:w="3402"/>
        <w:gridCol w:w="2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vAlign w:val="center"/>
          </w:tcPr>
          <w:p>
            <w:pPr>
              <w:pStyle w:val="11"/>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418" w:type="dxa"/>
            <w:vAlign w:val="center"/>
          </w:tcPr>
          <w:p>
            <w:pPr>
              <w:pStyle w:val="11"/>
              <w:spacing w:line="360" w:lineRule="auto"/>
              <w:ind w:left="0" w:leftChars="0"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名  称</w:t>
            </w:r>
          </w:p>
        </w:tc>
        <w:tc>
          <w:tcPr>
            <w:tcW w:w="3402" w:type="dxa"/>
            <w:vAlign w:val="center"/>
          </w:tcPr>
          <w:p>
            <w:pPr>
              <w:pStyle w:val="11"/>
              <w:spacing w:line="360" w:lineRule="auto"/>
              <w:ind w:left="0" w:leftChars="0"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推  荐  品  牌</w:t>
            </w:r>
          </w:p>
        </w:tc>
        <w:tc>
          <w:tcPr>
            <w:tcW w:w="2792" w:type="dxa"/>
            <w:vAlign w:val="center"/>
          </w:tcPr>
          <w:p>
            <w:pPr>
              <w:pStyle w:val="11"/>
              <w:spacing w:line="360" w:lineRule="auto"/>
              <w:ind w:left="0" w:leftChars="0"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widowControl/>
              <w:jc w:val="center"/>
              <w:rPr>
                <w:rFonts w:hint="eastAsia"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1</w:t>
            </w:r>
          </w:p>
        </w:tc>
        <w:tc>
          <w:tcPr>
            <w:tcW w:w="1418"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内墙乳胶漆</w:t>
            </w:r>
          </w:p>
        </w:tc>
        <w:tc>
          <w:tcPr>
            <w:tcW w:w="3402" w:type="dxa"/>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光辉BC-102、上海立邦（金牌净味5合1系列）、雅士利或经建设方认可的上述同档次品牌</w:t>
            </w:r>
          </w:p>
        </w:tc>
        <w:tc>
          <w:tcPr>
            <w:tcW w:w="2792" w:type="dxa"/>
            <w:vAlign w:val="center"/>
          </w:tcPr>
          <w:p>
            <w:pPr>
              <w:widowControl/>
              <w:ind w:left="-107" w:leftChars="-51" w:firstLine="107" w:firstLineChars="51"/>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施工现场必须是原装18L或25L每桶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widowControl/>
              <w:jc w:val="center"/>
              <w:rPr>
                <w:rFonts w:hint="default"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2</w:t>
            </w:r>
          </w:p>
        </w:tc>
        <w:tc>
          <w:tcPr>
            <w:tcW w:w="1418" w:type="dxa"/>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细木工板（含三、五、九厘等所有板）、免漆板、木门套、饰面板</w:t>
            </w:r>
          </w:p>
        </w:tc>
        <w:tc>
          <w:tcPr>
            <w:tcW w:w="3402"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兔宝宝、莫干山、大王椰或经建设方认可的上述同档次品牌</w:t>
            </w:r>
          </w:p>
        </w:tc>
        <w:tc>
          <w:tcPr>
            <w:tcW w:w="2792" w:type="dxa"/>
            <w:vAlign w:val="center"/>
          </w:tcPr>
          <w:p>
            <w:pPr>
              <w:widowControl/>
              <w:ind w:left="-107" w:leftChars="-51" w:firstLine="107" w:firstLineChars="51"/>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E1级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widowControl/>
              <w:jc w:val="center"/>
              <w:rPr>
                <w:rFonts w:hint="default"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3</w:t>
            </w:r>
          </w:p>
        </w:tc>
        <w:tc>
          <w:tcPr>
            <w:tcW w:w="1418"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镀锌轻钢龙骨</w:t>
            </w:r>
          </w:p>
        </w:tc>
        <w:tc>
          <w:tcPr>
            <w:tcW w:w="3402"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拉法基、龙牌、可耐福或经建设方认可的上述同档次品牌</w:t>
            </w:r>
          </w:p>
        </w:tc>
        <w:tc>
          <w:tcPr>
            <w:tcW w:w="2792" w:type="dxa"/>
            <w:vAlign w:val="center"/>
          </w:tcPr>
          <w:p>
            <w:pPr>
              <w:widowControl/>
              <w:ind w:left="-107" w:leftChars="-51" w:firstLine="107" w:firstLineChars="51"/>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widowControl/>
              <w:jc w:val="center"/>
              <w:rPr>
                <w:rFonts w:hint="default"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4</w:t>
            </w:r>
          </w:p>
        </w:tc>
        <w:tc>
          <w:tcPr>
            <w:tcW w:w="1418"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纸面石膏板</w:t>
            </w:r>
          </w:p>
        </w:tc>
        <w:tc>
          <w:tcPr>
            <w:tcW w:w="3402"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拉法基、龙牌、可耐福、泰山或经建设方认可的上述同档次品牌</w:t>
            </w:r>
          </w:p>
        </w:tc>
        <w:tc>
          <w:tcPr>
            <w:tcW w:w="2792" w:type="dxa"/>
            <w:vAlign w:val="center"/>
          </w:tcPr>
          <w:p>
            <w:pPr>
              <w:widowControl/>
              <w:ind w:left="-107" w:leftChars="-51" w:firstLine="107" w:firstLineChars="51"/>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widowControl/>
              <w:jc w:val="center"/>
              <w:rPr>
                <w:rFonts w:hint="eastAsia" w:asciiTheme="minorEastAsia" w:hAnsiTheme="minorEastAsia" w:eastAsiaTheme="minorEastAsia" w:cstheme="minorEastAsia"/>
                <w:kern w:val="0"/>
                <w:lang w:val="en-US" w:eastAsia="zh-CN"/>
              </w:rPr>
            </w:pPr>
            <w:r>
              <w:rPr>
                <w:rFonts w:hint="eastAsia" w:asciiTheme="minorEastAsia" w:hAnsiTheme="minorEastAsia" w:eastAsiaTheme="minorEastAsia" w:cstheme="minorEastAsia"/>
                <w:kern w:val="0"/>
                <w:lang w:val="en-US" w:eastAsia="zh-CN"/>
              </w:rPr>
              <w:t xml:space="preserve"> </w:t>
            </w:r>
          </w:p>
          <w:p>
            <w:pPr>
              <w:widowControl/>
              <w:jc w:val="center"/>
              <w:rPr>
                <w:rFonts w:hint="default"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5</w:t>
            </w:r>
          </w:p>
          <w:p>
            <w:pPr>
              <w:widowControl/>
              <w:jc w:val="center"/>
              <w:rPr>
                <w:rFonts w:hint="eastAsia" w:asciiTheme="minorEastAsia" w:hAnsiTheme="minorEastAsia" w:eastAsiaTheme="minorEastAsia" w:cstheme="minorEastAsia"/>
                <w:kern w:val="0"/>
                <w:lang w:val="en-US" w:eastAsia="zh-CN"/>
              </w:rPr>
            </w:pPr>
          </w:p>
          <w:p>
            <w:pPr>
              <w:widowControl/>
              <w:jc w:val="center"/>
              <w:rPr>
                <w:rFonts w:hint="eastAsia" w:asciiTheme="minorEastAsia" w:hAnsiTheme="minorEastAsia" w:eastAsiaTheme="minorEastAsia" w:cstheme="minorEastAsia"/>
                <w:kern w:val="0"/>
                <w:lang w:val="en-US" w:eastAsia="zh-CN"/>
              </w:rPr>
            </w:pPr>
          </w:p>
        </w:tc>
        <w:tc>
          <w:tcPr>
            <w:tcW w:w="1418"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sz w:val="24"/>
              </w:rPr>
              <w:t>成品实木复合木门</w:t>
            </w:r>
          </w:p>
        </w:tc>
        <w:tc>
          <w:tcPr>
            <w:tcW w:w="3402" w:type="dxa"/>
            <w:vAlign w:val="center"/>
          </w:tcPr>
          <w:p>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sz w:val="24"/>
              </w:rPr>
              <w:t>美心·家美、肯帝亚、3D、TATA或经建设方认可的上述同档次品牌</w:t>
            </w:r>
          </w:p>
        </w:tc>
        <w:tc>
          <w:tcPr>
            <w:tcW w:w="2792" w:type="dxa"/>
            <w:vAlign w:val="center"/>
          </w:tcPr>
          <w:p>
            <w:pPr>
              <w:widowControl/>
              <w:ind w:left="-107" w:leftChars="-51"/>
              <w:jc w:val="center"/>
              <w:rPr>
                <w:rFonts w:hint="eastAsia" w:asciiTheme="minorEastAsia" w:hAnsiTheme="minorEastAsia" w:eastAsiaTheme="minorEastAsia" w:cs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widowControl/>
              <w:jc w:val="center"/>
              <w:rPr>
                <w:rFonts w:hint="default"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6</w:t>
            </w:r>
          </w:p>
        </w:tc>
        <w:tc>
          <w:tcPr>
            <w:tcW w:w="1418" w:type="dxa"/>
            <w:vAlign w:val="center"/>
          </w:tcPr>
          <w:p>
            <w:pPr>
              <w:widowControl/>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rPr>
              <w:t>线缆</w:t>
            </w:r>
          </w:p>
        </w:tc>
        <w:tc>
          <w:tcPr>
            <w:tcW w:w="3402" w:type="dxa"/>
            <w:vAlign w:val="center"/>
          </w:tcPr>
          <w:p>
            <w:pPr>
              <w:widowControl/>
              <w:ind w:right="-107" w:rightChars="-51"/>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rPr>
              <w:t>上上、远东、江南或经建设方</w:t>
            </w:r>
            <w:r>
              <w:rPr>
                <w:rFonts w:hint="eastAsia" w:asciiTheme="minorEastAsia" w:hAnsiTheme="minorEastAsia" w:eastAsiaTheme="minorEastAsia" w:cstheme="minorEastAsia"/>
                <w:color w:val="000000"/>
                <w:kern w:val="0"/>
                <w:sz w:val="24"/>
              </w:rPr>
              <w:t>书面</w:t>
            </w:r>
            <w:r>
              <w:rPr>
                <w:rFonts w:hint="eastAsia" w:asciiTheme="minorEastAsia" w:hAnsiTheme="minorEastAsia" w:eastAsiaTheme="minorEastAsia" w:cstheme="minorEastAsia"/>
                <w:sz w:val="24"/>
              </w:rPr>
              <w:t>认可的上述同档次品牌</w:t>
            </w:r>
          </w:p>
        </w:tc>
        <w:tc>
          <w:tcPr>
            <w:tcW w:w="2792" w:type="dxa"/>
            <w:vAlign w:val="center"/>
          </w:tcPr>
          <w:p>
            <w:pPr>
              <w:widowControl/>
              <w:ind w:left="-107" w:leftChars="-51"/>
              <w:jc w:val="center"/>
              <w:rPr>
                <w:rFonts w:hint="eastAsia" w:asciiTheme="minorEastAsia" w:hAnsiTheme="minorEastAsia" w:eastAsiaTheme="minorEastAsia" w:cs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widowControl/>
              <w:jc w:val="center"/>
              <w:rPr>
                <w:rFonts w:hint="default" w:asciiTheme="minorEastAsia" w:hAnsiTheme="minorEastAsia" w:eastAsiaTheme="minorEastAsia" w:cstheme="minorEastAsia"/>
                <w:kern w:val="0"/>
                <w:lang w:val="en-US" w:eastAsia="zh-CN"/>
              </w:rPr>
            </w:pPr>
            <w:bookmarkStart w:id="0" w:name="_GoBack" w:colFirst="3" w:colLast="3"/>
            <w:r>
              <w:rPr>
                <w:rFonts w:hint="eastAsia" w:asciiTheme="minorEastAsia" w:hAnsiTheme="minorEastAsia" w:cstheme="minorEastAsia"/>
                <w:kern w:val="0"/>
                <w:lang w:val="en-US" w:eastAsia="zh-CN"/>
              </w:rPr>
              <w:t>7</w:t>
            </w:r>
          </w:p>
        </w:tc>
        <w:tc>
          <w:tcPr>
            <w:tcW w:w="1418" w:type="dxa"/>
            <w:vAlign w:val="center"/>
          </w:tcPr>
          <w:p>
            <w:pPr>
              <w:widowControl/>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rPr>
              <w:t>灯具、开关插座</w:t>
            </w:r>
          </w:p>
        </w:tc>
        <w:tc>
          <w:tcPr>
            <w:tcW w:w="3402" w:type="dxa"/>
            <w:vAlign w:val="center"/>
          </w:tcPr>
          <w:p>
            <w:pPr>
              <w:widowControl/>
              <w:ind w:right="-107" w:rightChars="-51"/>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rPr>
              <w:t>欧普、雷士、飞利浦或经建设方</w:t>
            </w:r>
            <w:r>
              <w:rPr>
                <w:rFonts w:hint="eastAsia" w:asciiTheme="minorEastAsia" w:hAnsiTheme="minorEastAsia" w:eastAsiaTheme="minorEastAsia" w:cstheme="minorEastAsia"/>
                <w:color w:val="000000"/>
                <w:kern w:val="0"/>
                <w:sz w:val="24"/>
              </w:rPr>
              <w:t>书面</w:t>
            </w:r>
            <w:r>
              <w:rPr>
                <w:rFonts w:hint="eastAsia" w:asciiTheme="minorEastAsia" w:hAnsiTheme="minorEastAsia" w:eastAsiaTheme="minorEastAsia" w:cstheme="minorEastAsia"/>
                <w:sz w:val="24"/>
              </w:rPr>
              <w:t>认可的上述同档次品牌</w:t>
            </w:r>
          </w:p>
        </w:tc>
        <w:tc>
          <w:tcPr>
            <w:tcW w:w="2792" w:type="dxa"/>
            <w:vAlign w:val="center"/>
          </w:tcPr>
          <w:p>
            <w:pPr>
              <w:widowControl/>
              <w:ind w:left="-107" w:leftChars="-51"/>
              <w:jc w:val="center"/>
              <w:rPr>
                <w:rFonts w:hint="eastAsia" w:asciiTheme="minorEastAsia" w:hAnsiTheme="minorEastAsia" w:eastAsiaTheme="minorEastAsia" w:cstheme="minorEastAsia"/>
                <w:kern w:val="0"/>
              </w:rPr>
            </w:pPr>
          </w:p>
        </w:tc>
      </w:tr>
      <w:bookmarkEnd w:id="0"/>
    </w:tbl>
    <w:p>
      <w:pPr>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color w:val="000000"/>
          <w:sz w:val="32"/>
          <w:szCs w:val="32"/>
        </w:rPr>
        <w:t>四、做法说明</w:t>
      </w:r>
      <w:r>
        <w:rPr>
          <w:rFonts w:hint="eastAsia" w:asciiTheme="minorEastAsia" w:hAnsiTheme="minorEastAsia" w:eastAsiaTheme="minorEastAsia" w:cstheme="minorEastAsia"/>
          <w:color w:val="000000"/>
          <w:sz w:val="36"/>
          <w:szCs w:val="36"/>
        </w:rPr>
        <w:t>：</w:t>
      </w:r>
    </w:p>
    <w:p>
      <w:pPr>
        <w:spacing w:line="360" w:lineRule="auto"/>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1、</w:t>
      </w:r>
      <w:r>
        <w:rPr>
          <w:rFonts w:hint="eastAsia" w:asciiTheme="minorEastAsia" w:hAnsiTheme="minorEastAsia" w:eastAsiaTheme="minorEastAsia" w:cstheme="minorEastAsia"/>
          <w:b/>
          <w:sz w:val="24"/>
          <w:lang w:eastAsia="zh-CN"/>
        </w:rPr>
        <w:t>二层改造</w:t>
      </w:r>
      <w:r>
        <w:rPr>
          <w:rFonts w:hint="eastAsia" w:asciiTheme="minorEastAsia" w:hAnsiTheme="minorEastAsia" w:eastAsiaTheme="minorEastAsia" w:cstheme="minorEastAsia"/>
          <w:b/>
          <w:sz w:val="24"/>
          <w:lang w:val="en-US" w:eastAsia="zh-CN"/>
        </w:rPr>
        <w:t xml:space="preserve">拆除部分： </w:t>
      </w:r>
    </w:p>
    <w:p>
      <w:pPr>
        <w:pStyle w:val="9"/>
        <w:numPr>
          <w:ilvl w:val="0"/>
          <w:numId w:val="0"/>
        </w:numPr>
        <w:spacing w:line="360" w:lineRule="auto"/>
        <w:ind w:leftChars="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①</w:t>
      </w:r>
      <w:r>
        <w:rPr>
          <w:rFonts w:hint="eastAsia" w:asciiTheme="minorEastAsia" w:hAnsiTheme="minorEastAsia" w:eastAsiaTheme="minorEastAsia" w:cstheme="minorEastAsia"/>
          <w:sz w:val="24"/>
          <w:lang w:eastAsia="zh-CN"/>
        </w:rPr>
        <w:t>办公室二：块料地砖拆除，局部楼地面砂浆铲除，拆除局部原石膏板隔断墙，拆除原墙柱面墙砖至粉刷层，墙面基层清理干净并磨光，天棚基层清理干净磨光；拆除铝合金窗，拆除单扇木门；</w:t>
      </w:r>
    </w:p>
    <w:p>
      <w:pPr>
        <w:pStyle w:val="9"/>
        <w:numPr>
          <w:ilvl w:val="0"/>
          <w:numId w:val="0"/>
        </w:numPr>
        <w:spacing w:line="360" w:lineRule="auto"/>
        <w:ind w:leftChars="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②其他拆除部分：墙面基层清理干净并磨光，天棚基层清理干净磨光； </w:t>
      </w:r>
    </w:p>
    <w:p>
      <w:pPr>
        <w:numPr>
          <w:ilvl w:val="0"/>
          <w:numId w:val="0"/>
        </w:numPr>
        <w:spacing w:line="360" w:lineRule="auto"/>
        <w:rPr>
          <w:rFonts w:hint="eastAsia" w:asciiTheme="minorEastAsia" w:hAnsiTheme="minorEastAsia" w:eastAsiaTheme="minorEastAsia" w:cstheme="minorEastAsia"/>
          <w:b/>
          <w:sz w:val="24"/>
          <w:lang w:val="en-US" w:eastAsia="zh-CN"/>
        </w:rPr>
      </w:pPr>
      <w:r>
        <w:rPr>
          <w:rFonts w:hint="eastAsia" w:asciiTheme="minorEastAsia" w:hAnsiTheme="minorEastAsia" w:cstheme="minorEastAsia"/>
          <w:b/>
          <w:sz w:val="24"/>
          <w:lang w:val="en-US" w:eastAsia="zh-CN"/>
        </w:rPr>
        <w:t>2、</w:t>
      </w:r>
      <w:r>
        <w:rPr>
          <w:rFonts w:hint="eastAsia" w:asciiTheme="minorEastAsia" w:hAnsiTheme="minorEastAsia" w:eastAsiaTheme="minorEastAsia" w:cstheme="minorEastAsia"/>
          <w:b/>
          <w:sz w:val="24"/>
          <w:lang w:eastAsia="zh-CN"/>
        </w:rPr>
        <w:t>二层改造</w:t>
      </w:r>
      <w:r>
        <w:rPr>
          <w:rFonts w:hint="eastAsia" w:asciiTheme="minorEastAsia" w:hAnsiTheme="minorEastAsia" w:eastAsiaTheme="minorEastAsia" w:cstheme="minorEastAsia"/>
          <w:b/>
          <w:sz w:val="24"/>
          <w:lang w:val="en-US" w:eastAsia="zh-CN"/>
        </w:rPr>
        <w:t xml:space="preserve">部分：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sz w:val="24"/>
          <w:lang w:val="en-US" w:eastAsia="zh-CN"/>
        </w:rPr>
        <w:t xml:space="preserve">  </w:t>
      </w:r>
      <w:r>
        <w:rPr>
          <w:rFonts w:hint="eastAsia" w:asciiTheme="minorEastAsia" w:hAnsiTheme="minorEastAsia" w:eastAsiaTheme="minorEastAsia" w:cstheme="minorEastAsia"/>
          <w:sz w:val="24"/>
        </w:rPr>
        <w:t>①</w:t>
      </w:r>
      <w:r>
        <w:rPr>
          <w:rFonts w:hint="eastAsia" w:asciiTheme="minorEastAsia" w:hAnsiTheme="minorEastAsia" w:eastAsiaTheme="minorEastAsia" w:cstheme="minorEastAsia"/>
          <w:sz w:val="24"/>
          <w:lang w:eastAsia="zh-CN"/>
        </w:rPr>
        <w:t>办公室二：地面：局部地面50厚C30细石混凝土面层，</w:t>
      </w:r>
      <w:r>
        <w:rPr>
          <w:rFonts w:hint="eastAsia" w:asciiTheme="minorEastAsia" w:hAnsiTheme="minorEastAsia" w:eastAsiaTheme="minorEastAsia" w:cstheme="minorEastAsia"/>
          <w:sz w:val="24"/>
          <w:lang w:val="en-US" w:eastAsia="zh-CN"/>
        </w:rPr>
        <w:t xml:space="preserve">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铺一层2~3厚配套软质防潮衬垫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12mm厚多层实木地板（含压条、收边铜条）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②局部隔断隔墙：石膏板隔墙，12厚纸面石膏板面层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白水泥腻子二遍,白色无机涂料二遍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③原块料铲除一般抹灰墙面：12厚1:1:6混合砂浆底，8厚1:1:4混合砂浆面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白水泥腻子二遍,白色无机涂料二遍 </w:t>
      </w:r>
    </w:p>
    <w:p>
      <w:pPr>
        <w:numPr>
          <w:ilvl w:val="0"/>
          <w:numId w:val="0"/>
        </w:numPr>
        <w:spacing w:line="360" w:lineRule="auto"/>
        <w:ind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④其他墙面：白水泥腻子二遍，白色无机涂料二遍 </w:t>
      </w:r>
    </w:p>
    <w:p>
      <w:pPr>
        <w:numPr>
          <w:ilvl w:val="0"/>
          <w:numId w:val="0"/>
        </w:numPr>
        <w:spacing w:line="360" w:lineRule="auto"/>
        <w:ind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⑤</w:t>
      </w:r>
      <w:r>
        <w:rPr>
          <w:rFonts w:hint="eastAsia" w:asciiTheme="minorEastAsia" w:hAnsiTheme="minorEastAsia" w:eastAsiaTheme="minorEastAsia" w:cstheme="minorEastAsia"/>
          <w:sz w:val="24"/>
          <w:lang w:val="en-US" w:eastAsia="zh-CN"/>
        </w:rPr>
        <w:t>天棚：白水泥腻子二遍，白色无机涂料二遍</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⑥其他：原轻质隔墙新增开窗，洞口1500*1500,1500*1800，洞口四周木工板封堵，达到新做窗户要求，具体位置按照甲方要求；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⑦木质门带套;成品实木复合单开门（含门套安装）；门五金安装；拉丝不锈钢铰链；拉丝不锈钢门吸；拉丝不锈钢单开执手锁，洞口尺寸900×2100，具体做法需满足规范及技术要求，颜色需经甲方认可；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⑧ 铝合金推拉窗,中空玻璃5+9a+5,型材厚度不小于1.8mm，具体做法需满足规范及技术要求（含规范要求的玻璃钢化费用）；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⑨透光卷帘,防火聚酯纤维材质,颜色、式样需经甲方确认,计算规则按展开面积计算,具体位置按甲方要求；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⑩原窗户清洗</w:t>
      </w:r>
      <w:r>
        <w:rPr>
          <w:rFonts w:hint="eastAsia" w:asciiTheme="minorEastAsia" w:hAnsiTheme="minorEastAsia" w:cstheme="minorEastAsia"/>
          <w:sz w:val="24"/>
          <w:lang w:val="en-US" w:eastAsia="zh-CN"/>
        </w:rPr>
        <w:t>干净</w:t>
      </w:r>
      <w:r>
        <w:rPr>
          <w:rFonts w:hint="eastAsia" w:asciiTheme="minorEastAsia" w:hAnsiTheme="minorEastAsia" w:eastAsiaTheme="minorEastAsia" w:cstheme="minorEastAsia"/>
          <w:sz w:val="24"/>
          <w:lang w:val="en-US" w:eastAsia="zh-CN"/>
        </w:rPr>
        <w:t xml:space="preserve">、局布整改，窗户四周打胶；               </w:t>
      </w:r>
    </w:p>
    <w:p>
      <w:pPr>
        <w:numPr>
          <w:ilvl w:val="0"/>
          <w:numId w:val="0"/>
        </w:numPr>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     </w:t>
      </w:r>
    </w:p>
    <w:p>
      <w:pPr>
        <w:spacing w:line="360" w:lineRule="auto"/>
        <w:rPr>
          <w:rFonts w:hint="eastAsia" w:asciiTheme="minorEastAsia" w:hAnsiTheme="minorEastAsia" w:eastAsiaTheme="minorEastAsia" w:cstheme="minorEastAsia"/>
          <w:color w:val="0000FF"/>
          <w:sz w:val="28"/>
          <w:szCs w:val="28"/>
        </w:rPr>
      </w:pPr>
      <w:r>
        <w:rPr>
          <w:rFonts w:hint="eastAsia" w:asciiTheme="minorEastAsia" w:hAnsiTheme="minorEastAsia" w:eastAsiaTheme="minorEastAsia" w:cstheme="minorEastAsia"/>
          <w:b/>
          <w:sz w:val="24"/>
        </w:rPr>
        <w:t>具体做法参照清单描述，本说明与清单描述冲突的以清单描述为准。</w:t>
      </w:r>
    </w:p>
    <w:p>
      <w:pPr>
        <w:numPr>
          <w:ilvl w:val="0"/>
          <w:numId w:val="2"/>
        </w:numPr>
        <w:spacing w:line="360" w:lineRule="auto"/>
        <w:ind w:left="150" w:leftChars="0" w:firstLine="0" w:firstLineChars="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安装</w:t>
      </w:r>
      <w:r>
        <w:rPr>
          <w:rFonts w:hint="eastAsia" w:asciiTheme="minorEastAsia" w:hAnsiTheme="minorEastAsia" w:eastAsiaTheme="minorEastAsia" w:cstheme="minorEastAsia"/>
          <w:b/>
          <w:bCs/>
          <w:kern w:val="0"/>
          <w:sz w:val="32"/>
          <w:szCs w:val="32"/>
        </w:rPr>
        <w:t>部分</w:t>
      </w:r>
      <w:r>
        <w:rPr>
          <w:rFonts w:hint="eastAsia" w:asciiTheme="minorEastAsia" w:hAnsiTheme="minorEastAsia" w:eastAsiaTheme="minorEastAsia" w:cstheme="minorEastAsia"/>
          <w:b/>
          <w:bCs/>
          <w:sz w:val="32"/>
          <w:szCs w:val="32"/>
        </w:rPr>
        <w:t>编制说明</w:t>
      </w:r>
    </w:p>
    <w:p>
      <w:pPr>
        <w:pStyle w:val="9"/>
        <w:widowControl w:val="0"/>
        <w:numPr>
          <w:ilvl w:val="0"/>
          <w:numId w:val="0"/>
        </w:numPr>
        <w:tabs>
          <w:tab w:val="left" w:pos="502"/>
        </w:tabs>
        <w:spacing w:line="360" w:lineRule="auto"/>
        <w:ind w:firstLine="240" w:firstLineChars="1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1、办公区内的照明线、插座线、空调电源线全部更换。</w:t>
      </w:r>
    </w:p>
    <w:p>
      <w:pPr>
        <w:pStyle w:val="9"/>
        <w:widowControl w:val="0"/>
        <w:numPr>
          <w:ilvl w:val="0"/>
          <w:numId w:val="0"/>
        </w:numPr>
        <w:tabs>
          <w:tab w:val="left" w:pos="502"/>
        </w:tabs>
        <w:spacing w:line="360" w:lineRule="auto"/>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8"/>
          <w:szCs w:val="28"/>
          <w:lang w:val="en-US" w:eastAsia="zh-CN"/>
        </w:rPr>
        <w:t>2、更换办公区部分的灯具、开关、插座（具体更换数量招标人定）。</w:t>
      </w:r>
    </w:p>
    <w:p>
      <w:pPr>
        <w:pStyle w:val="9"/>
        <w:widowControl w:val="0"/>
        <w:numPr>
          <w:ilvl w:val="0"/>
          <w:numId w:val="0"/>
        </w:numPr>
        <w:tabs>
          <w:tab w:val="left" w:pos="502"/>
        </w:tabs>
        <w:spacing w:line="360" w:lineRule="auto"/>
        <w:ind w:firstLine="280" w:firstLineChars="10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3、根据招标人要求，每个办公室增加网络插座，从原有机柜引来，明线槽敷设。</w:t>
      </w:r>
    </w:p>
    <w:p>
      <w:pPr>
        <w:pStyle w:val="9"/>
        <w:bidi w:val="0"/>
        <w:ind w:left="0" w:leftChars="0" w:firstLine="280" w:firstLineChars="1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4、根据招标人要求，宿舍楼的电气线路检查及修复（更换空调电源线）。</w:t>
      </w:r>
    </w:p>
    <w:p>
      <w:pPr>
        <w:pStyle w:val="9"/>
        <w:bidi w:val="0"/>
        <w:ind w:left="0" w:leftChars="0" w:firstLine="280" w:firstLineChars="1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5、根据招标人的要求，新增加一套不锈钢配电柜、照明配电箱及配套的电缆。</w:t>
      </w:r>
    </w:p>
    <w:p>
      <w:pPr>
        <w:numPr>
          <w:ilvl w:val="0"/>
          <w:numId w:val="0"/>
        </w:numPr>
        <w:spacing w:line="360" w:lineRule="auto"/>
        <w:ind w:firstLine="281" w:firstLineChars="100"/>
        <w:rPr>
          <w:rFonts w:hint="default" w:asciiTheme="minorEastAsia" w:hAnsiTheme="minorEastAsia" w:eastAsia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注：</w:t>
      </w:r>
      <w:r>
        <w:rPr>
          <w:rFonts w:hint="eastAsia" w:asciiTheme="minorEastAsia" w:hAnsiTheme="minorEastAsia" w:eastAsiaTheme="minorEastAsia" w:cstheme="minorEastAsia"/>
          <w:b/>
          <w:bCs w:val="0"/>
          <w:sz w:val="28"/>
          <w:szCs w:val="28"/>
          <w:lang w:val="en-US" w:eastAsia="zh-CN"/>
        </w:rPr>
        <w:t>因本工程没有图纸，所有工作量</w:t>
      </w:r>
      <w:r>
        <w:rPr>
          <w:rFonts w:hint="eastAsia" w:asciiTheme="minorEastAsia" w:hAnsiTheme="minorEastAsia" w:cstheme="minorEastAsia"/>
          <w:b/>
          <w:bCs w:val="0"/>
          <w:sz w:val="28"/>
          <w:szCs w:val="28"/>
          <w:lang w:val="en-US" w:eastAsia="zh-CN"/>
        </w:rPr>
        <w:t>若超标底10%，必须经过招标人书面同意，</w:t>
      </w:r>
      <w:r>
        <w:rPr>
          <w:rFonts w:hint="eastAsia" w:asciiTheme="minorEastAsia" w:hAnsiTheme="minorEastAsia" w:eastAsiaTheme="minorEastAsia" w:cstheme="minorEastAsia"/>
          <w:b/>
          <w:bCs w:val="0"/>
          <w:sz w:val="28"/>
          <w:szCs w:val="28"/>
          <w:lang w:val="en-US" w:eastAsia="zh-CN"/>
        </w:rPr>
        <w:t>范围以学校控制</w:t>
      </w:r>
      <w:r>
        <w:rPr>
          <w:rFonts w:hint="eastAsia" w:asciiTheme="minorEastAsia" w:hAnsiTheme="minorEastAsia" w:cstheme="minorEastAsia"/>
          <w:b/>
          <w:bCs w:val="0"/>
          <w:sz w:val="28"/>
          <w:szCs w:val="28"/>
          <w:lang w:val="en-US" w:eastAsia="zh-CN"/>
        </w:rPr>
        <w:t>，</w:t>
      </w:r>
      <w:r>
        <w:rPr>
          <w:rFonts w:hint="eastAsia" w:asciiTheme="minorEastAsia" w:hAnsiTheme="minorEastAsia" w:eastAsiaTheme="minorEastAsia" w:cstheme="minorEastAsia"/>
          <w:b/>
          <w:bCs w:val="0"/>
          <w:sz w:val="28"/>
          <w:szCs w:val="28"/>
          <w:lang w:val="en-US" w:eastAsia="zh-CN"/>
        </w:rPr>
        <w:t>现场签证为准。</w:t>
      </w:r>
    </w:p>
    <w:p>
      <w:pPr>
        <w:numPr>
          <w:ilvl w:val="0"/>
          <w:numId w:val="0"/>
        </w:numPr>
        <w:spacing w:line="360" w:lineRule="auto"/>
        <w:ind w:left="150" w:leftChars="0"/>
        <w:rPr>
          <w:rFonts w:hint="eastAsia" w:asciiTheme="minorEastAsia" w:hAnsiTheme="minorEastAsia" w:eastAsiaTheme="minorEastAsia" w:cstheme="minorEastAsia"/>
          <w:bCs/>
          <w:sz w:val="28"/>
          <w:szCs w:val="28"/>
          <w:lang w:val="en-US" w:eastAsia="zh-CN"/>
        </w:rPr>
      </w:pPr>
    </w:p>
    <w:p>
      <w:pPr>
        <w:pStyle w:val="9"/>
        <w:spacing w:line="360" w:lineRule="auto"/>
        <w:ind w:firstLine="4200" w:firstLineChars="1500"/>
        <w:jc w:val="both"/>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江苏信达建设工程咨询有限公司</w:t>
      </w:r>
    </w:p>
    <w:p>
      <w:pPr>
        <w:pStyle w:val="9"/>
        <w:spacing w:line="360" w:lineRule="auto"/>
        <w:ind w:firstLine="0" w:firstLineChars="0"/>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202</w:t>
      </w:r>
      <w:r>
        <w:rPr>
          <w:rFonts w:hint="eastAsia" w:asciiTheme="minorEastAsia" w:hAnsiTheme="minorEastAsia" w:eastAsiaTheme="minorEastAsia" w:cstheme="minorEastAsia"/>
          <w:bCs/>
          <w:sz w:val="28"/>
          <w:szCs w:val="28"/>
          <w:lang w:val="en-US" w:eastAsia="zh-CN"/>
        </w:rPr>
        <w:t>4</w:t>
      </w:r>
      <w:r>
        <w:rPr>
          <w:rFonts w:hint="eastAsia" w:asciiTheme="minorEastAsia" w:hAnsiTheme="minorEastAsia" w:eastAsiaTheme="minorEastAsia" w:cstheme="minorEastAsia"/>
          <w:bCs/>
          <w:sz w:val="28"/>
          <w:szCs w:val="28"/>
        </w:rPr>
        <w:t>年</w:t>
      </w:r>
      <w:r>
        <w:rPr>
          <w:rFonts w:hint="eastAsia" w:asciiTheme="minorEastAsia" w:hAnsiTheme="minorEastAsia" w:eastAsiaTheme="minorEastAsia" w:cstheme="minorEastAsia"/>
          <w:bCs/>
          <w:sz w:val="28"/>
          <w:szCs w:val="28"/>
          <w:lang w:val="en-US" w:eastAsia="zh-CN"/>
        </w:rPr>
        <w:t>1</w:t>
      </w:r>
      <w:r>
        <w:rPr>
          <w:rFonts w:hint="eastAsia" w:asciiTheme="minorEastAsia" w:hAnsiTheme="minorEastAsia" w:eastAsiaTheme="minorEastAsia" w:cstheme="minorEastAsia"/>
          <w:bCs/>
          <w:sz w:val="28"/>
          <w:szCs w:val="28"/>
        </w:rPr>
        <w:t>月</w:t>
      </w:r>
      <w:r>
        <w:rPr>
          <w:rFonts w:hint="eastAsia" w:asciiTheme="minorEastAsia" w:hAnsiTheme="minorEastAsia" w:eastAsiaTheme="minorEastAsia" w:cstheme="minorEastAsia"/>
          <w:bCs/>
          <w:sz w:val="28"/>
          <w:szCs w:val="28"/>
          <w:lang w:val="en-US" w:eastAsia="zh-CN"/>
        </w:rPr>
        <w:t>27</w:t>
      </w:r>
      <w:r>
        <w:rPr>
          <w:rFonts w:hint="eastAsia" w:asciiTheme="minorEastAsia" w:hAnsiTheme="minorEastAsia" w:eastAsiaTheme="minorEastAsia" w:cstheme="minorEastAsia"/>
          <w:bCs/>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1090"/>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3380E"/>
    <w:multiLevelType w:val="multilevel"/>
    <w:tmpl w:val="5F03380E"/>
    <w:lvl w:ilvl="0" w:tentative="0">
      <w:start w:val="1"/>
      <w:numFmt w:val="decimal"/>
      <w:lvlText w:val="%1."/>
      <w:lvlJc w:val="left"/>
      <w:pPr>
        <w:tabs>
          <w:tab w:val="left" w:pos="780"/>
        </w:tabs>
        <w:ind w:left="780" w:hanging="420"/>
      </w:pPr>
      <w:rPr>
        <w:rFonts w:hint="eastAsia"/>
        <w:color w:val="000000"/>
      </w:rPr>
    </w:lvl>
    <w:lvl w:ilvl="1" w:tentative="0">
      <w:start w:val="1"/>
      <w:numFmt w:val="decimal"/>
      <w:lvlText w:val="%2、"/>
      <w:lvlJc w:val="left"/>
      <w:pPr>
        <w:tabs>
          <w:tab w:val="left" w:pos="786"/>
        </w:tabs>
        <w:ind w:left="786" w:hanging="360"/>
      </w:pPr>
      <w:rPr>
        <w:rFonts w:hint="default"/>
      </w:rPr>
    </w:lvl>
    <w:lvl w:ilvl="2" w:tentative="0">
      <w:start w:val="1"/>
      <w:numFmt w:val="decimal"/>
      <w:lvlText w:val="%3"/>
      <w:lvlJc w:val="left"/>
      <w:pPr>
        <w:ind w:left="1200" w:hanging="360"/>
      </w:pPr>
      <w:rPr>
        <w:rFonts w:hint="default"/>
        <w:b/>
      </w:rPr>
    </w:lvl>
    <w:lvl w:ilvl="3" w:tentative="0">
      <w:start w:val="1"/>
      <w:numFmt w:val="decimal"/>
      <w:lvlText w:val="%4、"/>
      <w:lvlJc w:val="left"/>
      <w:pPr>
        <w:ind w:left="1620" w:hanging="360"/>
      </w:pPr>
      <w:rPr>
        <w:rFonts w:hint="default"/>
        <w:b/>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71AB859"/>
    <w:multiLevelType w:val="singleLevel"/>
    <w:tmpl w:val="771AB859"/>
    <w:lvl w:ilvl="0" w:tentative="0">
      <w:start w:val="5"/>
      <w:numFmt w:val="chineseCounting"/>
      <w:suff w:val="nothing"/>
      <w:lvlText w:val="%1、"/>
      <w:lvlJc w:val="left"/>
      <w:pPr>
        <w:ind w:left="150"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Y2OTFhZjUwYThlNTQ0OGFiMWYzOGRhODQ0OTkwYzAifQ=="/>
  </w:docVars>
  <w:rsids>
    <w:rsidRoot w:val="2E817FF4"/>
    <w:rsid w:val="000009AD"/>
    <w:rsid w:val="0000612B"/>
    <w:rsid w:val="00022829"/>
    <w:rsid w:val="00035FA7"/>
    <w:rsid w:val="000428F3"/>
    <w:rsid w:val="000501D1"/>
    <w:rsid w:val="00051A78"/>
    <w:rsid w:val="0005239E"/>
    <w:rsid w:val="00060E52"/>
    <w:rsid w:val="0006655A"/>
    <w:rsid w:val="00070609"/>
    <w:rsid w:val="00074983"/>
    <w:rsid w:val="00081357"/>
    <w:rsid w:val="00090F1A"/>
    <w:rsid w:val="00094310"/>
    <w:rsid w:val="000A2E31"/>
    <w:rsid w:val="000C1894"/>
    <w:rsid w:val="000C4419"/>
    <w:rsid w:val="000C7622"/>
    <w:rsid w:val="000C7ADE"/>
    <w:rsid w:val="000D67EC"/>
    <w:rsid w:val="000E04DA"/>
    <w:rsid w:val="000E5826"/>
    <w:rsid w:val="000F6158"/>
    <w:rsid w:val="00102C40"/>
    <w:rsid w:val="0012217E"/>
    <w:rsid w:val="00130F1E"/>
    <w:rsid w:val="0014099C"/>
    <w:rsid w:val="001433F6"/>
    <w:rsid w:val="0014495D"/>
    <w:rsid w:val="00155D30"/>
    <w:rsid w:val="00156C2D"/>
    <w:rsid w:val="00164B7C"/>
    <w:rsid w:val="001727C5"/>
    <w:rsid w:val="001733AC"/>
    <w:rsid w:val="0017441C"/>
    <w:rsid w:val="001A30B8"/>
    <w:rsid w:val="001A46FD"/>
    <w:rsid w:val="001B7384"/>
    <w:rsid w:val="001C6D3B"/>
    <w:rsid w:val="001E27B4"/>
    <w:rsid w:val="001E2B63"/>
    <w:rsid w:val="001F2761"/>
    <w:rsid w:val="00200A06"/>
    <w:rsid w:val="00204DA6"/>
    <w:rsid w:val="002077F7"/>
    <w:rsid w:val="00225D08"/>
    <w:rsid w:val="00233B5E"/>
    <w:rsid w:val="00245EF2"/>
    <w:rsid w:val="00246263"/>
    <w:rsid w:val="00250182"/>
    <w:rsid w:val="00253A3F"/>
    <w:rsid w:val="0026257C"/>
    <w:rsid w:val="002631CC"/>
    <w:rsid w:val="002656B1"/>
    <w:rsid w:val="00285021"/>
    <w:rsid w:val="00292C5B"/>
    <w:rsid w:val="00295B0E"/>
    <w:rsid w:val="002C2E37"/>
    <w:rsid w:val="002C2EE0"/>
    <w:rsid w:val="002C7303"/>
    <w:rsid w:val="002D5BEE"/>
    <w:rsid w:val="002F26C5"/>
    <w:rsid w:val="002F3544"/>
    <w:rsid w:val="00311D43"/>
    <w:rsid w:val="003141C6"/>
    <w:rsid w:val="00315E17"/>
    <w:rsid w:val="00334596"/>
    <w:rsid w:val="003359D5"/>
    <w:rsid w:val="003410BB"/>
    <w:rsid w:val="003456F0"/>
    <w:rsid w:val="00364EB0"/>
    <w:rsid w:val="00370D76"/>
    <w:rsid w:val="00371E37"/>
    <w:rsid w:val="003748FB"/>
    <w:rsid w:val="00381251"/>
    <w:rsid w:val="003815C8"/>
    <w:rsid w:val="003875FC"/>
    <w:rsid w:val="00392454"/>
    <w:rsid w:val="00396A16"/>
    <w:rsid w:val="003A3719"/>
    <w:rsid w:val="003B4C97"/>
    <w:rsid w:val="003B7920"/>
    <w:rsid w:val="003B7DC5"/>
    <w:rsid w:val="003C2CFA"/>
    <w:rsid w:val="003C5F2E"/>
    <w:rsid w:val="003C684B"/>
    <w:rsid w:val="003D2C85"/>
    <w:rsid w:val="003D34CA"/>
    <w:rsid w:val="003E33B1"/>
    <w:rsid w:val="003F2911"/>
    <w:rsid w:val="003F5EEB"/>
    <w:rsid w:val="004113FE"/>
    <w:rsid w:val="00413A14"/>
    <w:rsid w:val="00415F21"/>
    <w:rsid w:val="00422BCD"/>
    <w:rsid w:val="00442FAB"/>
    <w:rsid w:val="0044598D"/>
    <w:rsid w:val="0046122E"/>
    <w:rsid w:val="00471FC9"/>
    <w:rsid w:val="00480012"/>
    <w:rsid w:val="00481A64"/>
    <w:rsid w:val="004820E3"/>
    <w:rsid w:val="00495568"/>
    <w:rsid w:val="00495C4F"/>
    <w:rsid w:val="00496E9E"/>
    <w:rsid w:val="004A0E43"/>
    <w:rsid w:val="004A3FDB"/>
    <w:rsid w:val="004B31C6"/>
    <w:rsid w:val="004B7FFA"/>
    <w:rsid w:val="004C0BC5"/>
    <w:rsid w:val="004C4414"/>
    <w:rsid w:val="004D0825"/>
    <w:rsid w:val="004D5E78"/>
    <w:rsid w:val="004D780D"/>
    <w:rsid w:val="004E4A8B"/>
    <w:rsid w:val="004F16D8"/>
    <w:rsid w:val="0051210A"/>
    <w:rsid w:val="00512A50"/>
    <w:rsid w:val="00522EDE"/>
    <w:rsid w:val="00541A36"/>
    <w:rsid w:val="00553372"/>
    <w:rsid w:val="005533D7"/>
    <w:rsid w:val="00570299"/>
    <w:rsid w:val="00570BF7"/>
    <w:rsid w:val="00571613"/>
    <w:rsid w:val="00571DCE"/>
    <w:rsid w:val="00576330"/>
    <w:rsid w:val="005808B0"/>
    <w:rsid w:val="00593682"/>
    <w:rsid w:val="005A0221"/>
    <w:rsid w:val="005B4E96"/>
    <w:rsid w:val="005C2134"/>
    <w:rsid w:val="005C2C3A"/>
    <w:rsid w:val="0060238C"/>
    <w:rsid w:val="006034DC"/>
    <w:rsid w:val="00607F9E"/>
    <w:rsid w:val="00611D16"/>
    <w:rsid w:val="00630659"/>
    <w:rsid w:val="00646ADB"/>
    <w:rsid w:val="00661733"/>
    <w:rsid w:val="00663EBB"/>
    <w:rsid w:val="00676559"/>
    <w:rsid w:val="00676ADD"/>
    <w:rsid w:val="00683CCE"/>
    <w:rsid w:val="00693A9B"/>
    <w:rsid w:val="006A33D6"/>
    <w:rsid w:val="006A46E5"/>
    <w:rsid w:val="006A5CAA"/>
    <w:rsid w:val="006B6749"/>
    <w:rsid w:val="006D4D41"/>
    <w:rsid w:val="006E48F1"/>
    <w:rsid w:val="006F0FA9"/>
    <w:rsid w:val="00707EE6"/>
    <w:rsid w:val="00716507"/>
    <w:rsid w:val="00722D44"/>
    <w:rsid w:val="00723461"/>
    <w:rsid w:val="00723DB4"/>
    <w:rsid w:val="007248A7"/>
    <w:rsid w:val="00730322"/>
    <w:rsid w:val="00742291"/>
    <w:rsid w:val="00742525"/>
    <w:rsid w:val="0074311B"/>
    <w:rsid w:val="00754454"/>
    <w:rsid w:val="007907B0"/>
    <w:rsid w:val="0079215F"/>
    <w:rsid w:val="007951D4"/>
    <w:rsid w:val="007B31AA"/>
    <w:rsid w:val="007C1354"/>
    <w:rsid w:val="007C7D8F"/>
    <w:rsid w:val="007D27E9"/>
    <w:rsid w:val="007F60E5"/>
    <w:rsid w:val="007F79C2"/>
    <w:rsid w:val="008039B3"/>
    <w:rsid w:val="00820C1B"/>
    <w:rsid w:val="008275ED"/>
    <w:rsid w:val="008322D6"/>
    <w:rsid w:val="0083240E"/>
    <w:rsid w:val="00836227"/>
    <w:rsid w:val="008427E3"/>
    <w:rsid w:val="0084427A"/>
    <w:rsid w:val="00845155"/>
    <w:rsid w:val="00862868"/>
    <w:rsid w:val="00864446"/>
    <w:rsid w:val="008652C8"/>
    <w:rsid w:val="00871EA5"/>
    <w:rsid w:val="0087353C"/>
    <w:rsid w:val="00885E2E"/>
    <w:rsid w:val="008906DE"/>
    <w:rsid w:val="008953F8"/>
    <w:rsid w:val="008955A4"/>
    <w:rsid w:val="008A0B79"/>
    <w:rsid w:val="008A5684"/>
    <w:rsid w:val="008A72A0"/>
    <w:rsid w:val="008B771F"/>
    <w:rsid w:val="008C01EA"/>
    <w:rsid w:val="008D42B2"/>
    <w:rsid w:val="008E5266"/>
    <w:rsid w:val="008F7245"/>
    <w:rsid w:val="0090589F"/>
    <w:rsid w:val="00906823"/>
    <w:rsid w:val="0091136A"/>
    <w:rsid w:val="00911578"/>
    <w:rsid w:val="009139E2"/>
    <w:rsid w:val="0091739F"/>
    <w:rsid w:val="00921CB5"/>
    <w:rsid w:val="009258C8"/>
    <w:rsid w:val="00931744"/>
    <w:rsid w:val="00932134"/>
    <w:rsid w:val="009356AC"/>
    <w:rsid w:val="00936515"/>
    <w:rsid w:val="00936D1A"/>
    <w:rsid w:val="00941E48"/>
    <w:rsid w:val="00960CC0"/>
    <w:rsid w:val="0097067B"/>
    <w:rsid w:val="00972961"/>
    <w:rsid w:val="00972F0B"/>
    <w:rsid w:val="00973FC2"/>
    <w:rsid w:val="009946F6"/>
    <w:rsid w:val="00994975"/>
    <w:rsid w:val="00995263"/>
    <w:rsid w:val="009A708D"/>
    <w:rsid w:val="009A7E4B"/>
    <w:rsid w:val="009C308C"/>
    <w:rsid w:val="009C5C13"/>
    <w:rsid w:val="009D1561"/>
    <w:rsid w:val="009E2E88"/>
    <w:rsid w:val="009E3CB2"/>
    <w:rsid w:val="009E3F8D"/>
    <w:rsid w:val="009E57B0"/>
    <w:rsid w:val="009E7E39"/>
    <w:rsid w:val="009F13D8"/>
    <w:rsid w:val="009F4D2B"/>
    <w:rsid w:val="00A0263A"/>
    <w:rsid w:val="00A17ECF"/>
    <w:rsid w:val="00A22D88"/>
    <w:rsid w:val="00A31E71"/>
    <w:rsid w:val="00A34AC0"/>
    <w:rsid w:val="00A35E09"/>
    <w:rsid w:val="00A423FB"/>
    <w:rsid w:val="00A430B0"/>
    <w:rsid w:val="00A45ACF"/>
    <w:rsid w:val="00A56BDE"/>
    <w:rsid w:val="00A74B20"/>
    <w:rsid w:val="00A77338"/>
    <w:rsid w:val="00A77D9B"/>
    <w:rsid w:val="00A810CA"/>
    <w:rsid w:val="00A90618"/>
    <w:rsid w:val="00AB04F5"/>
    <w:rsid w:val="00AB39F9"/>
    <w:rsid w:val="00AB6754"/>
    <w:rsid w:val="00AB7688"/>
    <w:rsid w:val="00AD537D"/>
    <w:rsid w:val="00AD6835"/>
    <w:rsid w:val="00AF436E"/>
    <w:rsid w:val="00AF5D4A"/>
    <w:rsid w:val="00AF75A1"/>
    <w:rsid w:val="00B02FA7"/>
    <w:rsid w:val="00B13F1A"/>
    <w:rsid w:val="00B15CAB"/>
    <w:rsid w:val="00B22B9D"/>
    <w:rsid w:val="00B26E27"/>
    <w:rsid w:val="00B3127C"/>
    <w:rsid w:val="00B4169D"/>
    <w:rsid w:val="00B456E9"/>
    <w:rsid w:val="00B50203"/>
    <w:rsid w:val="00B54A46"/>
    <w:rsid w:val="00B56EFB"/>
    <w:rsid w:val="00B60313"/>
    <w:rsid w:val="00B617BD"/>
    <w:rsid w:val="00B625B4"/>
    <w:rsid w:val="00B8518C"/>
    <w:rsid w:val="00B87E9D"/>
    <w:rsid w:val="00B952BD"/>
    <w:rsid w:val="00BA0559"/>
    <w:rsid w:val="00BA51E3"/>
    <w:rsid w:val="00BA7A52"/>
    <w:rsid w:val="00BB667E"/>
    <w:rsid w:val="00BC4AFB"/>
    <w:rsid w:val="00BE169D"/>
    <w:rsid w:val="00BE62FF"/>
    <w:rsid w:val="00C073ED"/>
    <w:rsid w:val="00C07CB6"/>
    <w:rsid w:val="00C15F9D"/>
    <w:rsid w:val="00C3008B"/>
    <w:rsid w:val="00C42AFD"/>
    <w:rsid w:val="00C50294"/>
    <w:rsid w:val="00C646D5"/>
    <w:rsid w:val="00C661F4"/>
    <w:rsid w:val="00C66A5D"/>
    <w:rsid w:val="00C76B6A"/>
    <w:rsid w:val="00C81C5E"/>
    <w:rsid w:val="00C836BD"/>
    <w:rsid w:val="00C964AA"/>
    <w:rsid w:val="00CA43FA"/>
    <w:rsid w:val="00CA63AF"/>
    <w:rsid w:val="00CB498A"/>
    <w:rsid w:val="00CB77B3"/>
    <w:rsid w:val="00CC0EAB"/>
    <w:rsid w:val="00CE582A"/>
    <w:rsid w:val="00CE7F18"/>
    <w:rsid w:val="00CF6390"/>
    <w:rsid w:val="00D02FA8"/>
    <w:rsid w:val="00D0738C"/>
    <w:rsid w:val="00D13F0E"/>
    <w:rsid w:val="00D1642A"/>
    <w:rsid w:val="00D17B68"/>
    <w:rsid w:val="00D27503"/>
    <w:rsid w:val="00D3651A"/>
    <w:rsid w:val="00D42B8F"/>
    <w:rsid w:val="00D450C9"/>
    <w:rsid w:val="00D465FF"/>
    <w:rsid w:val="00D5674D"/>
    <w:rsid w:val="00D64F6B"/>
    <w:rsid w:val="00D65C69"/>
    <w:rsid w:val="00D70706"/>
    <w:rsid w:val="00D710CD"/>
    <w:rsid w:val="00D76FFD"/>
    <w:rsid w:val="00D85966"/>
    <w:rsid w:val="00D863AD"/>
    <w:rsid w:val="00D9322A"/>
    <w:rsid w:val="00DA0D12"/>
    <w:rsid w:val="00DB42B2"/>
    <w:rsid w:val="00DE19C9"/>
    <w:rsid w:val="00DF3975"/>
    <w:rsid w:val="00DF6F8A"/>
    <w:rsid w:val="00E06B5E"/>
    <w:rsid w:val="00E115F8"/>
    <w:rsid w:val="00E1319A"/>
    <w:rsid w:val="00E14270"/>
    <w:rsid w:val="00E21D5D"/>
    <w:rsid w:val="00E24F9F"/>
    <w:rsid w:val="00E37148"/>
    <w:rsid w:val="00E53156"/>
    <w:rsid w:val="00E57556"/>
    <w:rsid w:val="00EA0A77"/>
    <w:rsid w:val="00EA2FDF"/>
    <w:rsid w:val="00EA4BB8"/>
    <w:rsid w:val="00EB0D23"/>
    <w:rsid w:val="00EB2E87"/>
    <w:rsid w:val="00EB68E1"/>
    <w:rsid w:val="00EC2B96"/>
    <w:rsid w:val="00EC3716"/>
    <w:rsid w:val="00EC3C98"/>
    <w:rsid w:val="00EE4945"/>
    <w:rsid w:val="00EF134C"/>
    <w:rsid w:val="00EF225C"/>
    <w:rsid w:val="00F0265C"/>
    <w:rsid w:val="00F17F3B"/>
    <w:rsid w:val="00F2363A"/>
    <w:rsid w:val="00F236B7"/>
    <w:rsid w:val="00F239E5"/>
    <w:rsid w:val="00F30192"/>
    <w:rsid w:val="00F317F1"/>
    <w:rsid w:val="00F330FD"/>
    <w:rsid w:val="00F375BD"/>
    <w:rsid w:val="00F41AC9"/>
    <w:rsid w:val="00F62C33"/>
    <w:rsid w:val="00F63815"/>
    <w:rsid w:val="00F73EE5"/>
    <w:rsid w:val="00F75665"/>
    <w:rsid w:val="00F82008"/>
    <w:rsid w:val="00F85382"/>
    <w:rsid w:val="00F85EA5"/>
    <w:rsid w:val="00F97E67"/>
    <w:rsid w:val="00FA7334"/>
    <w:rsid w:val="00FB6AE3"/>
    <w:rsid w:val="00FC190C"/>
    <w:rsid w:val="00FC2C22"/>
    <w:rsid w:val="00FF171A"/>
    <w:rsid w:val="00FF1B99"/>
    <w:rsid w:val="00FF7DB5"/>
    <w:rsid w:val="02C15A63"/>
    <w:rsid w:val="03831590"/>
    <w:rsid w:val="03FF32D8"/>
    <w:rsid w:val="04CB4231"/>
    <w:rsid w:val="075517F1"/>
    <w:rsid w:val="0CA746A5"/>
    <w:rsid w:val="0D3955D8"/>
    <w:rsid w:val="0DC31439"/>
    <w:rsid w:val="0DD86243"/>
    <w:rsid w:val="0E2240AB"/>
    <w:rsid w:val="10CE6103"/>
    <w:rsid w:val="11854738"/>
    <w:rsid w:val="14C04951"/>
    <w:rsid w:val="14C85CB3"/>
    <w:rsid w:val="14EC0958"/>
    <w:rsid w:val="17BC41DD"/>
    <w:rsid w:val="188E43B7"/>
    <w:rsid w:val="18A232B8"/>
    <w:rsid w:val="19BD301B"/>
    <w:rsid w:val="1AB5246D"/>
    <w:rsid w:val="1C22271E"/>
    <w:rsid w:val="1C334EC9"/>
    <w:rsid w:val="1D00374D"/>
    <w:rsid w:val="1D3603DA"/>
    <w:rsid w:val="20B038EC"/>
    <w:rsid w:val="20D95C6F"/>
    <w:rsid w:val="243378E8"/>
    <w:rsid w:val="258636AA"/>
    <w:rsid w:val="26A36CCB"/>
    <w:rsid w:val="26B36793"/>
    <w:rsid w:val="278E068C"/>
    <w:rsid w:val="281A7810"/>
    <w:rsid w:val="2857142C"/>
    <w:rsid w:val="287E31E4"/>
    <w:rsid w:val="2995606F"/>
    <w:rsid w:val="29C71171"/>
    <w:rsid w:val="2E817FF4"/>
    <w:rsid w:val="2F0C5571"/>
    <w:rsid w:val="31352D9B"/>
    <w:rsid w:val="31B55D3B"/>
    <w:rsid w:val="33C24ADF"/>
    <w:rsid w:val="34060532"/>
    <w:rsid w:val="34C71D0E"/>
    <w:rsid w:val="39894CA2"/>
    <w:rsid w:val="3A0E20DE"/>
    <w:rsid w:val="3A6D4E67"/>
    <w:rsid w:val="3BF1303B"/>
    <w:rsid w:val="3D0D7F2A"/>
    <w:rsid w:val="3D3F50BA"/>
    <w:rsid w:val="3D883A79"/>
    <w:rsid w:val="3FFB4CC3"/>
    <w:rsid w:val="406B0FB4"/>
    <w:rsid w:val="42570E22"/>
    <w:rsid w:val="42D84EEE"/>
    <w:rsid w:val="43430E5B"/>
    <w:rsid w:val="43D15FA8"/>
    <w:rsid w:val="43FC139E"/>
    <w:rsid w:val="454B082A"/>
    <w:rsid w:val="46061D0B"/>
    <w:rsid w:val="46537607"/>
    <w:rsid w:val="466A72E9"/>
    <w:rsid w:val="46AE5C4C"/>
    <w:rsid w:val="48D415DA"/>
    <w:rsid w:val="48D92FEB"/>
    <w:rsid w:val="490C7C8E"/>
    <w:rsid w:val="49667761"/>
    <w:rsid w:val="49F11610"/>
    <w:rsid w:val="4B023555"/>
    <w:rsid w:val="4D134330"/>
    <w:rsid w:val="4D7F41C9"/>
    <w:rsid w:val="4DC63C21"/>
    <w:rsid w:val="4DD80534"/>
    <w:rsid w:val="534F13F6"/>
    <w:rsid w:val="53A64448"/>
    <w:rsid w:val="54A21770"/>
    <w:rsid w:val="55061CE8"/>
    <w:rsid w:val="558C464E"/>
    <w:rsid w:val="55A6192E"/>
    <w:rsid w:val="55E372D0"/>
    <w:rsid w:val="56743509"/>
    <w:rsid w:val="58E86354"/>
    <w:rsid w:val="5AA940C0"/>
    <w:rsid w:val="5AF37B52"/>
    <w:rsid w:val="5B991B67"/>
    <w:rsid w:val="5C2419A9"/>
    <w:rsid w:val="5C814BED"/>
    <w:rsid w:val="5CFC24F8"/>
    <w:rsid w:val="5D211424"/>
    <w:rsid w:val="5E0E3E35"/>
    <w:rsid w:val="5E626EE0"/>
    <w:rsid w:val="5E822B3F"/>
    <w:rsid w:val="607945BC"/>
    <w:rsid w:val="60C43183"/>
    <w:rsid w:val="61140F11"/>
    <w:rsid w:val="626A2EB8"/>
    <w:rsid w:val="62C03C99"/>
    <w:rsid w:val="63DF02D4"/>
    <w:rsid w:val="64322BDF"/>
    <w:rsid w:val="67A72FE1"/>
    <w:rsid w:val="680F531F"/>
    <w:rsid w:val="694035C4"/>
    <w:rsid w:val="6B245845"/>
    <w:rsid w:val="6BAB1A02"/>
    <w:rsid w:val="6CE5513F"/>
    <w:rsid w:val="6D2F00F6"/>
    <w:rsid w:val="6D6545DB"/>
    <w:rsid w:val="6E5F42BA"/>
    <w:rsid w:val="6E791F84"/>
    <w:rsid w:val="6E8D31A9"/>
    <w:rsid w:val="718A7AD1"/>
    <w:rsid w:val="727360FD"/>
    <w:rsid w:val="72F75FB6"/>
    <w:rsid w:val="73CB0663"/>
    <w:rsid w:val="748F2972"/>
    <w:rsid w:val="74DC6C71"/>
    <w:rsid w:val="75066735"/>
    <w:rsid w:val="76C2367F"/>
    <w:rsid w:val="77831CF9"/>
    <w:rsid w:val="787B48AE"/>
    <w:rsid w:val="79BF6786"/>
    <w:rsid w:val="7B0D2392"/>
    <w:rsid w:val="7CC849B8"/>
    <w:rsid w:val="7D452B7C"/>
    <w:rsid w:val="7E8C34AC"/>
    <w:rsid w:val="7EBB1ABF"/>
    <w:rsid w:val="7EED220A"/>
    <w:rsid w:val="7F102368"/>
    <w:rsid w:val="7F416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8"/>
    <w:autoRedefine/>
    <w:qFormat/>
    <w:uiPriority w:val="99"/>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kern w:val="2"/>
      <w:sz w:val="18"/>
      <w:szCs w:val="18"/>
    </w:rPr>
  </w:style>
  <w:style w:type="character" w:customStyle="1" w:styleId="8">
    <w:name w:val="页脚 Char"/>
    <w:basedOn w:val="6"/>
    <w:link w:val="3"/>
    <w:autoRedefine/>
    <w:qFormat/>
    <w:uiPriority w:val="99"/>
    <w:rPr>
      <w:kern w:val="2"/>
      <w:sz w:val="18"/>
      <w:szCs w:val="18"/>
    </w:rPr>
  </w:style>
  <w:style w:type="paragraph" w:styleId="9">
    <w:name w:val="List Paragraph"/>
    <w:basedOn w:val="1"/>
    <w:autoRedefine/>
    <w:qFormat/>
    <w:uiPriority w:val="1"/>
    <w:pPr>
      <w:ind w:firstLine="420" w:firstLineChars="200"/>
    </w:pPr>
    <w:rPr>
      <w:rFonts w:ascii="Times New Roman" w:hAnsi="Times New Roman" w:eastAsia="宋体" w:cs="Times New Roman"/>
    </w:rPr>
  </w:style>
  <w:style w:type="character" w:customStyle="1" w:styleId="10">
    <w:name w:val="批注框文本 Char"/>
    <w:basedOn w:val="6"/>
    <w:link w:val="2"/>
    <w:autoRedefine/>
    <w:qFormat/>
    <w:uiPriority w:val="0"/>
    <w:rPr>
      <w:kern w:val="2"/>
      <w:sz w:val="18"/>
      <w:szCs w:val="18"/>
    </w:rPr>
  </w:style>
  <w:style w:type="paragraph" w:customStyle="1" w:styleId="11">
    <w:name w:val="正文 + 宋体"/>
    <w:basedOn w:val="1"/>
    <w:autoRedefine/>
    <w:qFormat/>
    <w:uiPriority w:val="0"/>
    <w:pPr>
      <w:ind w:left="838" w:leftChars="285" w:hanging="240" w:hangingChars="100"/>
    </w:pPr>
    <w:rPr>
      <w:rFonts w:ascii="Times New Roman" w:hAnsi="Times New Roman" w:eastAsia="宋体" w:cs="Times New Roman"/>
      <w:sz w:val="24"/>
    </w:rPr>
  </w:style>
  <w:style w:type="character" w:customStyle="1" w:styleId="12">
    <w:name w:val="font31"/>
    <w:basedOn w:val="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ADD021-FFA1-487C-9CB1-85E016FCE4E0}">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4</Pages>
  <Words>2475</Words>
  <Characters>2722</Characters>
  <Lines>68</Lines>
  <Paragraphs>19</Paragraphs>
  <TotalTime>19</TotalTime>
  <ScaleCrop>false</ScaleCrop>
  <LinksUpToDate>false</LinksUpToDate>
  <CharactersWithSpaces>2787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2022-05-26T11:05:00Z</dcterms:created>
  <dc:creator>dn</dc:creator>
  <cp:lastModifiedBy>唐婷</cp:lastModifiedBy>
  <cp:lastPrinted>2022-06-01T01:04:00Z</cp:lastPrinted>
  <dcterms:modified xsi:type="dcterms:W3CDTF">2024-01-27T02:48:29Z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3FFAFC2D985F4A919C8BCFFDD7C1C785</vt:lpwstr>
  </property>
</Properties>
</file>