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hint="eastAsia"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xxkl7SAAAABgEAAA8AAAAAAAAAAQAgAAAAIgAAAGRycy9kb3ducmV2LnhtbFBLAQIUABQAAAAI&#10;AIdO4kCzT9R68wEAAOQDAAAOAAAAAAAAAAEAIAAAACEBAABkcnMvZTJvRG9jLnhtbFBLBQYAAAAA&#10;BgAGAFkBAACGBQ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pPr>
        <w:adjustRightInd w:val="0"/>
        <w:snapToGrid w:val="0"/>
        <w:spacing w:line="420" w:lineRule="exact"/>
        <w:rPr>
          <w:rFonts w:hint="eastAsia" w:ascii="宋体" w:hAnsi="宋体" w:eastAsia="宋体" w:cs="宋体"/>
          <w:kern w:val="0"/>
          <w:szCs w:val="21"/>
          <w:lang w:eastAsia="zh-CN"/>
        </w:rPr>
      </w:pPr>
      <w:r>
        <w:rPr>
          <w:rFonts w:hint="eastAsia" w:ascii="宋体" w:hAnsi="宋体" w:cs="宋体"/>
          <w:b/>
          <w:szCs w:val="21"/>
        </w:rPr>
        <w:t>1.工程名称：</w:t>
      </w:r>
      <w:r>
        <w:rPr>
          <w:rFonts w:hint="eastAsia" w:ascii="宋体" w:hAnsi="宋体" w:cs="宋体"/>
          <w:b/>
          <w:szCs w:val="21"/>
          <w:lang w:eastAsia="zh-CN"/>
        </w:rPr>
        <w:t>常州市金坛区华罗庚实验学校求真苑、教学楼等屋面防水维修工程</w:t>
      </w:r>
    </w:p>
    <w:p>
      <w:pPr>
        <w:spacing w:line="420" w:lineRule="exact"/>
        <w:rPr>
          <w:rFonts w:hint="eastAsia" w:ascii="宋体" w:hAnsi="宋体" w:cs="宋体"/>
          <w:b/>
          <w:szCs w:val="21"/>
        </w:rPr>
      </w:pPr>
      <w:r>
        <w:rPr>
          <w:rFonts w:hint="eastAsia" w:ascii="宋体" w:hAnsi="宋体" w:cs="宋体"/>
          <w:b/>
          <w:szCs w:val="21"/>
        </w:rPr>
        <w:t>2.工程概况：</w:t>
      </w:r>
    </w:p>
    <w:p>
      <w:pPr>
        <w:pStyle w:val="6"/>
        <w:spacing w:before="0" w:beforeAutospacing="0" w:after="0" w:afterAutospacing="0" w:line="420" w:lineRule="exact"/>
        <w:rPr>
          <w:rFonts w:hint="eastAsia"/>
          <w:sz w:val="21"/>
          <w:szCs w:val="21"/>
        </w:rPr>
      </w:pPr>
      <w:r>
        <w:rPr>
          <w:rFonts w:hint="eastAsia"/>
          <w:sz w:val="21"/>
          <w:szCs w:val="21"/>
        </w:rPr>
        <w:t xml:space="preserve">    （1）项目地点：</w:t>
      </w:r>
      <w:r>
        <w:rPr>
          <w:rFonts w:hint="eastAsia" w:cs="宋体"/>
          <w:sz w:val="21"/>
          <w:szCs w:val="21"/>
          <w:lang w:eastAsia="zh-CN"/>
        </w:rPr>
        <w:t>常州市金坛区华罗庚实验学校</w:t>
      </w:r>
      <w:r>
        <w:rPr>
          <w:rFonts w:hint="eastAsia"/>
          <w:sz w:val="21"/>
          <w:szCs w:val="21"/>
        </w:rPr>
        <w:t>；</w:t>
      </w:r>
    </w:p>
    <w:p>
      <w:pPr>
        <w:pStyle w:val="6"/>
        <w:spacing w:before="0" w:beforeAutospacing="0" w:after="0" w:afterAutospacing="0" w:line="420" w:lineRule="exact"/>
        <w:rPr>
          <w:rFonts w:hint="eastAsia"/>
          <w:sz w:val="21"/>
          <w:szCs w:val="21"/>
        </w:rPr>
      </w:pPr>
      <w:r>
        <w:rPr>
          <w:rFonts w:hint="eastAsia"/>
          <w:sz w:val="21"/>
          <w:szCs w:val="21"/>
        </w:rPr>
        <w:t xml:space="preserve">    （2）</w:t>
      </w:r>
      <w:r>
        <w:rPr>
          <w:rFonts w:hint="eastAsia"/>
          <w:sz w:val="21"/>
          <w:szCs w:val="21"/>
          <w:highlight w:val="none"/>
        </w:rPr>
        <w:t>项目内容</w:t>
      </w:r>
      <w:r>
        <w:rPr>
          <w:rFonts w:hint="eastAsia"/>
          <w:sz w:val="21"/>
          <w:szCs w:val="21"/>
        </w:rPr>
        <w:t>：招标清单、控制价及编制说明等包括的全部内容；</w:t>
      </w:r>
    </w:p>
    <w:p>
      <w:pPr>
        <w:pStyle w:val="6"/>
        <w:spacing w:before="0" w:beforeAutospacing="0" w:after="0" w:afterAutospacing="0" w:line="420" w:lineRule="exact"/>
        <w:rPr>
          <w:rFonts w:hint="eastAsia"/>
          <w:sz w:val="21"/>
          <w:szCs w:val="21"/>
          <w:highlight w:val="none"/>
        </w:rPr>
      </w:pPr>
      <w:r>
        <w:rPr>
          <w:rFonts w:hint="eastAsia"/>
          <w:sz w:val="21"/>
          <w:szCs w:val="21"/>
        </w:rPr>
        <w:t xml:space="preserve">    （3）质量要求：合</w:t>
      </w:r>
      <w:r>
        <w:rPr>
          <w:rFonts w:hint="eastAsia"/>
          <w:sz w:val="21"/>
          <w:szCs w:val="21"/>
          <w:highlight w:val="none"/>
        </w:rPr>
        <w:t>格；</w:t>
      </w:r>
    </w:p>
    <w:p>
      <w:pPr>
        <w:pStyle w:val="6"/>
        <w:spacing w:before="0" w:beforeAutospacing="0" w:after="0" w:afterAutospacing="0" w:line="420" w:lineRule="exact"/>
        <w:rPr>
          <w:rFonts w:hint="eastAsia"/>
          <w:sz w:val="21"/>
          <w:szCs w:val="21"/>
          <w:highlight w:val="none"/>
        </w:rPr>
      </w:pPr>
      <w:r>
        <w:rPr>
          <w:rFonts w:hint="eastAsia"/>
          <w:sz w:val="21"/>
          <w:szCs w:val="21"/>
          <w:highlight w:val="none"/>
        </w:rPr>
        <w:t xml:space="preserve">    （4）施工工期：</w:t>
      </w:r>
      <w:r>
        <w:rPr>
          <w:rFonts w:hint="eastAsia"/>
          <w:sz w:val="21"/>
          <w:szCs w:val="21"/>
          <w:highlight w:val="none"/>
          <w:lang w:val="en-US" w:eastAsia="zh-CN"/>
        </w:rPr>
        <w:t>20</w:t>
      </w:r>
      <w:r>
        <w:rPr>
          <w:rFonts w:hint="eastAsia"/>
          <w:sz w:val="21"/>
          <w:szCs w:val="21"/>
          <w:highlight w:val="none"/>
        </w:rPr>
        <w:t>日历天。</w:t>
      </w:r>
    </w:p>
    <w:p>
      <w:pPr>
        <w:adjustRightInd w:val="0"/>
        <w:snapToGrid w:val="0"/>
        <w:spacing w:line="420" w:lineRule="exact"/>
        <w:rPr>
          <w:rFonts w:hint="eastAsia"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7"/>
        <w:tblW w:w="8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85"/>
        <w:gridCol w:w="2195"/>
        <w:gridCol w:w="1538"/>
        <w:gridCol w:w="2275"/>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685" w:type="dxa"/>
            <w:vAlign w:val="center"/>
          </w:tcPr>
          <w:p>
            <w:pPr>
              <w:widowControl/>
              <w:spacing w:line="360" w:lineRule="auto"/>
              <w:jc w:val="center"/>
              <w:textAlignment w:val="center"/>
              <w:rPr>
                <w:rFonts w:ascii="宋体" w:hAnsi="宋体" w:cs="宋体"/>
                <w:b/>
                <w:bCs/>
                <w:kern w:val="0"/>
                <w:szCs w:val="21"/>
              </w:rPr>
            </w:pPr>
            <w:r>
              <w:rPr>
                <w:rFonts w:hint="eastAsia" w:ascii="宋体" w:hAnsi="宋体" w:cs="宋体"/>
                <w:b/>
                <w:bCs/>
                <w:kern w:val="0"/>
                <w:szCs w:val="21"/>
              </w:rPr>
              <w:t>序号</w:t>
            </w:r>
          </w:p>
        </w:tc>
        <w:tc>
          <w:tcPr>
            <w:tcW w:w="2195"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rPr>
              <w:t>工程名称</w:t>
            </w:r>
          </w:p>
        </w:tc>
        <w:tc>
          <w:tcPr>
            <w:tcW w:w="1538" w:type="dxa"/>
            <w:vAlign w:val="center"/>
          </w:tcPr>
          <w:p>
            <w:pPr>
              <w:widowControl/>
              <w:spacing w:line="360" w:lineRule="auto"/>
              <w:jc w:val="center"/>
              <w:textAlignment w:val="center"/>
              <w:rPr>
                <w:rFonts w:hint="eastAsia" w:ascii="宋体" w:hAnsi="宋体" w:cs="宋体"/>
                <w:b/>
                <w:bCs/>
                <w:szCs w:val="21"/>
              </w:rPr>
            </w:pPr>
            <w:r>
              <w:rPr>
                <w:rFonts w:hint="eastAsia" w:ascii="宋体" w:hAnsi="宋体" w:cs="宋体"/>
                <w:b/>
                <w:bCs/>
                <w:szCs w:val="21"/>
              </w:rPr>
              <w:t>控制价</w:t>
            </w:r>
          </w:p>
          <w:p>
            <w:pPr>
              <w:widowControl/>
              <w:spacing w:line="360" w:lineRule="auto"/>
              <w:jc w:val="center"/>
              <w:textAlignment w:val="center"/>
              <w:rPr>
                <w:rFonts w:ascii="宋体" w:hAnsi="宋体" w:cs="宋体"/>
                <w:b/>
                <w:bCs/>
                <w:szCs w:val="21"/>
              </w:rPr>
            </w:pPr>
            <w:r>
              <w:rPr>
                <w:rFonts w:hint="eastAsia" w:ascii="宋体" w:hAnsi="宋体" w:cs="宋体"/>
                <w:b/>
                <w:bCs/>
                <w:szCs w:val="21"/>
              </w:rPr>
              <w:t>（元）</w:t>
            </w:r>
          </w:p>
        </w:tc>
        <w:tc>
          <w:tcPr>
            <w:tcW w:w="2275" w:type="dxa"/>
            <w:vAlign w:val="center"/>
          </w:tcPr>
          <w:p>
            <w:pPr>
              <w:widowControl/>
              <w:spacing w:line="360" w:lineRule="auto"/>
              <w:jc w:val="center"/>
              <w:textAlignment w:val="center"/>
              <w:rPr>
                <w:rFonts w:hint="eastAsia" w:ascii="宋体" w:hAnsi="宋体" w:cs="宋体"/>
                <w:b/>
                <w:bCs/>
                <w:szCs w:val="21"/>
              </w:rPr>
            </w:pPr>
            <w:r>
              <w:rPr>
                <w:rFonts w:hint="eastAsia" w:ascii="宋体" w:hAnsi="宋体" w:cs="宋体"/>
                <w:b/>
                <w:bCs/>
                <w:szCs w:val="21"/>
              </w:rPr>
              <w:t>投标人资质类别、</w:t>
            </w:r>
          </w:p>
          <w:p>
            <w:pPr>
              <w:widowControl/>
              <w:spacing w:line="360" w:lineRule="auto"/>
              <w:jc w:val="center"/>
              <w:textAlignment w:val="center"/>
              <w:rPr>
                <w:rFonts w:ascii="宋体" w:hAnsi="宋体" w:cs="宋体"/>
                <w:b/>
                <w:bCs/>
                <w:szCs w:val="21"/>
              </w:rPr>
            </w:pPr>
            <w:r>
              <w:rPr>
                <w:rFonts w:hint="eastAsia" w:ascii="宋体" w:hAnsi="宋体" w:cs="宋体"/>
                <w:b/>
                <w:bCs/>
                <w:szCs w:val="21"/>
              </w:rPr>
              <w:t>等级</w:t>
            </w:r>
          </w:p>
        </w:tc>
        <w:tc>
          <w:tcPr>
            <w:tcW w:w="2083"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65" w:hRule="atLeast"/>
          <w:jc w:val="center"/>
        </w:trPr>
        <w:tc>
          <w:tcPr>
            <w:tcW w:w="685" w:type="dxa"/>
            <w:vAlign w:val="center"/>
          </w:tcPr>
          <w:p>
            <w:pPr>
              <w:pStyle w:val="6"/>
              <w:spacing w:before="0" w:beforeAutospacing="0" w:after="0" w:afterAutospacing="0" w:line="420" w:lineRule="exact"/>
              <w:jc w:val="center"/>
              <w:rPr>
                <w:rFonts w:hint="eastAsia"/>
                <w:b/>
                <w:bCs/>
                <w:sz w:val="21"/>
                <w:szCs w:val="21"/>
              </w:rPr>
            </w:pPr>
            <w:r>
              <w:rPr>
                <w:rFonts w:hint="eastAsia"/>
                <w:b/>
                <w:bCs/>
                <w:sz w:val="21"/>
                <w:szCs w:val="21"/>
              </w:rPr>
              <w:t>1</w:t>
            </w:r>
          </w:p>
        </w:tc>
        <w:tc>
          <w:tcPr>
            <w:tcW w:w="2195" w:type="dxa"/>
            <w:vAlign w:val="center"/>
          </w:tcPr>
          <w:p>
            <w:pPr>
              <w:pStyle w:val="6"/>
              <w:spacing w:before="0" w:beforeAutospacing="0" w:after="0" w:afterAutospacing="0" w:line="420" w:lineRule="exact"/>
              <w:jc w:val="center"/>
              <w:rPr>
                <w:rFonts w:hint="eastAsia"/>
                <w:b/>
                <w:bCs/>
                <w:sz w:val="21"/>
                <w:szCs w:val="21"/>
              </w:rPr>
            </w:pPr>
            <w:r>
              <w:rPr>
                <w:rFonts w:hint="eastAsia"/>
                <w:b/>
                <w:bCs/>
                <w:sz w:val="21"/>
                <w:szCs w:val="21"/>
                <w:lang w:eastAsia="zh-CN"/>
              </w:rPr>
              <w:t>常州市金坛区华罗庚实验学校求真苑、教学楼等屋面防水维修工程</w:t>
            </w:r>
          </w:p>
        </w:tc>
        <w:tc>
          <w:tcPr>
            <w:tcW w:w="1538" w:type="dxa"/>
            <w:vAlign w:val="center"/>
          </w:tcPr>
          <w:p>
            <w:pPr>
              <w:pStyle w:val="6"/>
              <w:spacing w:before="0" w:beforeAutospacing="0" w:after="0" w:afterAutospacing="0" w:line="420" w:lineRule="exact"/>
              <w:jc w:val="center"/>
              <w:rPr>
                <w:rFonts w:hint="eastAsia"/>
                <w:b/>
                <w:bCs/>
                <w:sz w:val="21"/>
                <w:szCs w:val="21"/>
              </w:rPr>
            </w:pPr>
            <w:r>
              <w:rPr>
                <w:rFonts w:hint="eastAsia" w:ascii="宋体" w:hAnsi="宋体" w:eastAsia="宋体" w:cs="宋体"/>
                <w:b/>
                <w:bCs/>
                <w:kern w:val="0"/>
                <w:sz w:val="21"/>
                <w:szCs w:val="21"/>
                <w:lang w:val="en-US" w:eastAsia="zh-CN" w:bidi="ar-SA"/>
              </w:rPr>
              <w:t>268190.28元</w:t>
            </w:r>
          </w:p>
        </w:tc>
        <w:tc>
          <w:tcPr>
            <w:tcW w:w="2275" w:type="dxa"/>
            <w:vAlign w:val="center"/>
          </w:tcPr>
          <w:p>
            <w:pPr>
              <w:widowControl/>
              <w:spacing w:line="360" w:lineRule="auto"/>
              <w:jc w:val="center"/>
              <w:textAlignment w:val="center"/>
              <w:rPr>
                <w:rFonts w:hint="eastAsia" w:ascii="宋体" w:hAnsi="宋体" w:eastAsia="宋体" w:cs="宋体"/>
                <w:b/>
                <w:bCs/>
                <w:kern w:val="0"/>
                <w:sz w:val="21"/>
                <w:szCs w:val="21"/>
                <w:lang w:val="en-US" w:eastAsia="zh-CN" w:bidi="ar-SA"/>
              </w:rPr>
            </w:pPr>
            <w:r>
              <w:rPr>
                <w:rFonts w:hint="eastAsia" w:ascii="宋体" w:hAnsi="宋体" w:eastAsia="宋体" w:cs="宋体"/>
                <w:b/>
                <w:bCs/>
                <w:kern w:val="0"/>
                <w:sz w:val="21"/>
                <w:szCs w:val="21"/>
                <w:lang w:val="en-US" w:eastAsia="zh-CN" w:bidi="ar-SA"/>
              </w:rPr>
              <w:t>建筑施工总承包三级及以上资质</w:t>
            </w:r>
          </w:p>
        </w:tc>
        <w:tc>
          <w:tcPr>
            <w:tcW w:w="2083" w:type="dxa"/>
            <w:vAlign w:val="center"/>
          </w:tcPr>
          <w:p>
            <w:pPr>
              <w:widowControl/>
              <w:spacing w:line="360" w:lineRule="auto"/>
              <w:jc w:val="center"/>
              <w:textAlignment w:val="center"/>
              <w:rPr>
                <w:rFonts w:hint="eastAsia" w:ascii="宋体" w:hAnsi="宋体" w:eastAsia="宋体" w:cs="宋体"/>
                <w:b/>
                <w:bCs/>
                <w:kern w:val="0"/>
                <w:sz w:val="21"/>
                <w:szCs w:val="21"/>
                <w:lang w:val="en-US" w:eastAsia="zh-CN" w:bidi="ar-SA"/>
              </w:rPr>
            </w:pPr>
            <w:r>
              <w:rPr>
                <w:rFonts w:hint="eastAsia" w:ascii="宋体" w:hAnsi="宋体" w:eastAsia="宋体" w:cs="宋体"/>
                <w:b/>
                <w:bCs/>
                <w:kern w:val="0"/>
                <w:sz w:val="21"/>
                <w:szCs w:val="21"/>
                <w:lang w:val="en-US" w:eastAsia="zh-CN" w:bidi="ar-SA"/>
              </w:rPr>
              <w:t>建筑工程二级及以上注册建造师资质</w:t>
            </w:r>
          </w:p>
        </w:tc>
      </w:tr>
    </w:tbl>
    <w:p>
      <w:pPr>
        <w:spacing w:line="420" w:lineRule="exact"/>
        <w:ind w:firstLine="105" w:firstLineChars="50"/>
        <w:jc w:val="left"/>
        <w:rPr>
          <w:rFonts w:hint="eastAsia" w:ascii="宋体" w:hAnsi="宋体" w:cs="宋体"/>
          <w:b/>
          <w:kern w:val="0"/>
          <w:szCs w:val="21"/>
        </w:rPr>
      </w:pPr>
      <w:r>
        <w:rPr>
          <w:rFonts w:hint="eastAsia" w:ascii="宋体" w:hAnsi="宋体" w:cs="宋体"/>
          <w:b/>
          <w:kern w:val="0"/>
          <w:szCs w:val="21"/>
        </w:rPr>
        <w:t>4.</w:t>
      </w:r>
      <w:r>
        <w:rPr>
          <w:rFonts w:hint="eastAsia" w:ascii="宋体" w:hAnsi="宋体" w:cs="宋体"/>
          <w:b/>
          <w:kern w:val="0"/>
          <w:szCs w:val="21"/>
          <w:lang w:eastAsia="zh-CN"/>
        </w:rPr>
        <w:t>其他</w:t>
      </w:r>
      <w:r>
        <w:rPr>
          <w:rFonts w:hint="eastAsia" w:ascii="宋体" w:hAnsi="宋体" w:cs="宋体"/>
          <w:b/>
          <w:kern w:val="0"/>
          <w:szCs w:val="21"/>
        </w:rPr>
        <w:t>报名条件：</w:t>
      </w:r>
    </w:p>
    <w:p>
      <w:pPr>
        <w:pStyle w:val="6"/>
        <w:spacing w:before="0" w:beforeAutospacing="0" w:after="0" w:afterAutospacing="0" w:line="420" w:lineRule="exact"/>
        <w:ind w:firstLine="420" w:firstLineChars="200"/>
        <w:rPr>
          <w:rFonts w:hint="eastAsia"/>
          <w:sz w:val="21"/>
          <w:szCs w:val="21"/>
        </w:rPr>
      </w:pPr>
      <w:r>
        <w:rPr>
          <w:rFonts w:hint="eastAsia"/>
          <w:sz w:val="21"/>
          <w:szCs w:val="21"/>
        </w:rPr>
        <w:t>（1）本工程采用资格后审的方式；</w:t>
      </w:r>
    </w:p>
    <w:p>
      <w:pPr>
        <w:pStyle w:val="6"/>
        <w:spacing w:before="0" w:beforeAutospacing="0" w:after="0" w:afterAutospacing="0" w:line="420" w:lineRule="exact"/>
        <w:ind w:firstLine="420" w:firstLineChars="200"/>
        <w:rPr>
          <w:rFonts w:hint="eastAsia"/>
          <w:sz w:val="21"/>
          <w:szCs w:val="21"/>
        </w:rPr>
      </w:pPr>
      <w:r>
        <w:rPr>
          <w:rFonts w:hint="eastAsia"/>
          <w:sz w:val="21"/>
          <w:szCs w:val="21"/>
        </w:rPr>
        <w:t>（2）投标保证金：</w:t>
      </w:r>
      <w:r>
        <w:rPr>
          <w:rFonts w:hint="eastAsia" w:cs="宋体"/>
          <w:b/>
          <w:kern w:val="2"/>
          <w:sz w:val="21"/>
          <w:szCs w:val="21"/>
          <w:lang w:val="en-US" w:eastAsia="zh-CN" w:bidi="ar-SA"/>
        </w:rPr>
        <w:t>伍仟元整</w:t>
      </w:r>
      <w:r>
        <w:rPr>
          <w:rFonts w:hint="eastAsia" w:ascii="宋体" w:hAnsi="宋体" w:eastAsia="宋体" w:cs="宋体"/>
          <w:b/>
          <w:kern w:val="2"/>
          <w:sz w:val="21"/>
          <w:szCs w:val="21"/>
          <w:lang w:val="en-US" w:eastAsia="zh-CN" w:bidi="ar-SA"/>
        </w:rPr>
        <w:t>，</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r>
        <w:rPr>
          <w:rFonts w:hint="eastAsia"/>
          <w:sz w:val="21"/>
          <w:szCs w:val="21"/>
          <w:lang w:eastAsia="zh-CN"/>
        </w:rPr>
        <w:t>；</w:t>
      </w:r>
    </w:p>
    <w:p>
      <w:pPr>
        <w:pStyle w:val="6"/>
        <w:spacing w:before="0" w:beforeAutospacing="0" w:after="0" w:afterAutospacing="0" w:line="420" w:lineRule="exact"/>
        <w:ind w:firstLine="420" w:firstLineChars="200"/>
        <w:rPr>
          <w:sz w:val="21"/>
          <w:szCs w:val="21"/>
        </w:rPr>
      </w:pPr>
      <w:r>
        <w:rPr>
          <w:rFonts w:hint="eastAsia"/>
          <w:sz w:val="21"/>
          <w:szCs w:val="21"/>
        </w:rPr>
        <w:t>（3）如法定代表人出席开标会，需手持法定代表人资格证明书原件（除投标书中另外单独提供一份）、本人第二代身份证原件及投标保证金出席开标会，否则招标人将拒绝其投标；</w:t>
      </w:r>
    </w:p>
    <w:p>
      <w:pPr>
        <w:pStyle w:val="6"/>
        <w:spacing w:before="0" w:beforeAutospacing="0" w:after="0" w:afterAutospacing="0" w:line="420" w:lineRule="exact"/>
        <w:ind w:firstLine="420" w:firstLineChars="200"/>
        <w:rPr>
          <w:rFonts w:hint="eastAsia"/>
          <w:sz w:val="21"/>
          <w:szCs w:val="21"/>
        </w:rPr>
      </w:pPr>
      <w:r>
        <w:rPr>
          <w:rFonts w:hint="eastAsia"/>
          <w:sz w:val="21"/>
          <w:szCs w:val="21"/>
        </w:rPr>
        <w:t>（4）如委托代理人参加开标会，需手持法定代表人授权委托书原件（除投标书中另外单独提供一份）、本人第二代身份证原件及投标保证金准时参加开标会议，否则招标人将拒绝其投标。</w:t>
      </w:r>
    </w:p>
    <w:p>
      <w:pPr>
        <w:pStyle w:val="6"/>
        <w:spacing w:before="0" w:beforeAutospacing="0" w:after="0" w:afterAutospacing="0" w:line="360" w:lineRule="auto"/>
        <w:ind w:firstLine="420" w:firstLineChars="200"/>
        <w:rPr>
          <w:rFonts w:hint="eastAsia" w:eastAsia="宋体"/>
          <w:color w:val="auto"/>
          <w:sz w:val="21"/>
          <w:szCs w:val="21"/>
          <w:lang w:eastAsia="zh-CN"/>
        </w:rPr>
      </w:pPr>
      <w:r>
        <w:rPr>
          <w:rFonts w:hint="eastAsia"/>
          <w:color w:val="auto"/>
          <w:sz w:val="21"/>
          <w:szCs w:val="21"/>
        </w:rPr>
        <w:t>（5）未被“信用中国”网站（WWW.creditchina.gov.cn）或“中国政府采购网”网站（www.ccgp.gov.cn）列入失信被执行人、重大税收违法案件当事人名单、政府采购严重失信行为记录名单</w:t>
      </w:r>
      <w:r>
        <w:rPr>
          <w:rFonts w:hint="eastAsia"/>
          <w:color w:val="auto"/>
          <w:sz w:val="21"/>
          <w:szCs w:val="21"/>
          <w:lang w:eastAsia="zh-CN"/>
        </w:rPr>
        <w:t>；</w:t>
      </w:r>
    </w:p>
    <w:p>
      <w:pPr>
        <w:pStyle w:val="6"/>
        <w:spacing w:before="0" w:beforeAutospacing="0" w:after="0" w:afterAutospacing="0" w:line="360" w:lineRule="auto"/>
        <w:ind w:firstLine="420" w:firstLineChars="200"/>
        <w:rPr>
          <w:rFonts w:hint="eastAsia" w:eastAsia="宋体"/>
          <w:color w:val="auto"/>
          <w:sz w:val="21"/>
          <w:szCs w:val="21"/>
          <w:lang w:eastAsia="zh-CN"/>
        </w:rPr>
      </w:pPr>
      <w:r>
        <w:rPr>
          <w:rFonts w:hint="eastAsia"/>
          <w:color w:val="auto"/>
          <w:sz w:val="21"/>
          <w:szCs w:val="21"/>
        </w:rPr>
        <w:t>（6）本项目不接受联合体投标</w:t>
      </w:r>
      <w:r>
        <w:rPr>
          <w:rFonts w:hint="eastAsia"/>
          <w:color w:val="auto"/>
          <w:sz w:val="21"/>
          <w:szCs w:val="21"/>
          <w:lang w:eastAsia="zh-CN"/>
        </w:rPr>
        <w:t>；</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hint="eastAsia" w:ascii="宋体" w:hAnsi="宋体" w:cs="宋体"/>
          <w:b/>
          <w:kern w:val="0"/>
          <w:szCs w:val="21"/>
        </w:rPr>
      </w:pPr>
      <w:r>
        <w:rPr>
          <w:rFonts w:hint="eastAsia" w:ascii="宋体" w:hAnsi="宋体" w:cs="宋体"/>
          <w:b/>
          <w:color w:val="auto"/>
          <w:szCs w:val="21"/>
          <w:shd w:val="clear" w:color="auto" w:fill="FFFFFF"/>
        </w:rPr>
        <w:t>资格后审（报名时）需携带以下资料</w:t>
      </w:r>
      <w:r>
        <w:rPr>
          <w:rFonts w:hint="eastAsia" w:ascii="宋体" w:hAnsi="宋体" w:cs="宋体"/>
          <w:b/>
          <w:color w:val="auto"/>
          <w:kern w:val="0"/>
          <w:szCs w:val="21"/>
        </w:rPr>
        <w:t xml:space="preserve">： </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（1）常州市建设工程投标报名申请书（附件1）；</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（2）法定代表人资格证明书及本人身份证；或法定代表人授权委托书及委托代理人身份证；</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（3）企业营业执照、企业资质证书、企业安全生产许可证；</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（4）拟投标建造师注册证书及建设行政主管部门核发的安全生产考核合格证（B 证）；</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（5）</w:t>
      </w:r>
      <w:r>
        <w:rPr>
          <w:rFonts w:hint="eastAsia"/>
          <w:color w:val="auto"/>
          <w:sz w:val="21"/>
          <w:szCs w:val="21"/>
          <w:highlight w:val="none"/>
          <w:lang w:val="en-US" w:eastAsia="zh-CN"/>
        </w:rPr>
        <w:t>授权委托人及项目经理（建造师）的社会保障机构盖章的养老保险缴纳证明（缴纳时间为2024年3月-2024年5月，其中任一月均可）</w:t>
      </w:r>
      <w:r>
        <w:rPr>
          <w:rFonts w:hint="eastAsia"/>
          <w:color w:val="auto"/>
          <w:sz w:val="21"/>
          <w:szCs w:val="21"/>
          <w:highlight w:val="none"/>
        </w:rPr>
        <w:t>；</w:t>
      </w:r>
    </w:p>
    <w:p>
      <w:pPr>
        <w:pStyle w:val="6"/>
        <w:spacing w:before="0" w:beforeAutospacing="0" w:after="0" w:afterAutospacing="0" w:line="420" w:lineRule="exact"/>
        <w:ind w:firstLine="413" w:firstLineChars="196"/>
        <w:rPr>
          <w:rFonts w:hint="eastAsia"/>
          <w:b/>
          <w:color w:val="auto"/>
          <w:sz w:val="21"/>
          <w:szCs w:val="21"/>
          <w:highlight w:val="none"/>
        </w:rPr>
      </w:pPr>
      <w:r>
        <w:rPr>
          <w:rFonts w:hint="eastAsia"/>
          <w:b/>
          <w:color w:val="auto"/>
          <w:sz w:val="21"/>
          <w:szCs w:val="21"/>
          <w:highlight w:val="none"/>
        </w:rPr>
        <w:t>注：资格审查资料必须按上述顺序提供</w:t>
      </w:r>
      <w:r>
        <w:rPr>
          <w:rFonts w:hint="eastAsia"/>
          <w:b/>
          <w:color w:val="auto"/>
          <w:sz w:val="21"/>
          <w:szCs w:val="21"/>
          <w:highlight w:val="none"/>
          <w:lang w:val="en-US" w:eastAsia="zh-CN"/>
        </w:rPr>
        <w:t>三</w:t>
      </w:r>
      <w:r>
        <w:rPr>
          <w:rFonts w:hint="eastAsia"/>
          <w:b/>
          <w:color w:val="auto"/>
          <w:sz w:val="21"/>
          <w:szCs w:val="21"/>
          <w:highlight w:val="none"/>
        </w:rPr>
        <w:t>套复印件装订成册（不可活页装订）并加盖公章，装订成册的资格审查资料复印件与原件（身份证可提供复印件并加盖公章；企业</w:t>
      </w:r>
      <w:r>
        <w:rPr>
          <w:rFonts w:hint="eastAsia"/>
          <w:b/>
          <w:color w:val="auto"/>
          <w:sz w:val="21"/>
          <w:szCs w:val="21"/>
          <w:highlight w:val="none"/>
          <w:lang w:eastAsia="zh-CN"/>
        </w:rPr>
        <w:t>营业执照、资质证书、</w:t>
      </w:r>
      <w:r>
        <w:rPr>
          <w:rFonts w:hint="eastAsia"/>
          <w:b/>
          <w:color w:val="auto"/>
          <w:sz w:val="21"/>
          <w:szCs w:val="21"/>
          <w:highlight w:val="none"/>
        </w:rPr>
        <w:t>安全生产许可证、拟投标建造师注册证书及安全生产考核合格证（B 证）</w:t>
      </w:r>
      <w:r>
        <w:rPr>
          <w:rFonts w:hint="eastAsia"/>
          <w:b/>
          <w:color w:val="auto"/>
          <w:sz w:val="21"/>
          <w:szCs w:val="21"/>
          <w:highlight w:val="none"/>
          <w:lang w:eastAsia="zh-CN"/>
        </w:rPr>
        <w:t>、养老保险缴纳证明</w:t>
      </w:r>
      <w:r>
        <w:rPr>
          <w:rFonts w:hint="eastAsia"/>
          <w:b/>
          <w:color w:val="auto"/>
          <w:sz w:val="21"/>
          <w:szCs w:val="21"/>
          <w:highlight w:val="none"/>
        </w:rPr>
        <w:t>带有二维码的打印件加盖公章</w:t>
      </w:r>
      <w:r>
        <w:rPr>
          <w:rFonts w:hint="eastAsia"/>
          <w:b/>
          <w:color w:val="auto"/>
          <w:sz w:val="21"/>
          <w:szCs w:val="21"/>
          <w:highlight w:val="none"/>
          <w:lang w:eastAsia="zh-CN"/>
        </w:rPr>
        <w:t>即视为原件</w:t>
      </w:r>
      <w:r>
        <w:rPr>
          <w:rFonts w:hint="eastAsia"/>
          <w:b/>
          <w:color w:val="auto"/>
          <w:sz w:val="21"/>
          <w:szCs w:val="21"/>
          <w:highlight w:val="none"/>
        </w:rPr>
        <w:t xml:space="preserve">）一起必须装袋、密封（注：密封袋骑缝处加盖报名单位公章）、标志（注：密封袋上注明工程名称、报名单位全称并加盖报名单位公章和法定代表人印章）后在投标截止时间前一次性递交，投标截止时间后不再接受补充资料（未能按要求提供以上密封资料的或提供资料不满足以上资格后审要求的，招标人将拒绝其参与投标）。 </w:t>
      </w:r>
    </w:p>
    <w:p>
      <w:pPr>
        <w:pStyle w:val="6"/>
        <w:spacing w:before="0" w:beforeAutospacing="0" w:after="0" w:afterAutospacing="0" w:line="420" w:lineRule="exact"/>
        <w:ind w:firstLine="413" w:firstLineChars="196"/>
        <w:rPr>
          <w:b/>
          <w:color w:val="auto"/>
          <w:sz w:val="21"/>
          <w:szCs w:val="21"/>
          <w:highlight w:val="none"/>
        </w:rPr>
      </w:pPr>
      <w:r>
        <w:rPr>
          <w:rFonts w:hint="eastAsia"/>
          <w:b/>
          <w:color w:val="auto"/>
          <w:sz w:val="21"/>
          <w:szCs w:val="21"/>
          <w:highlight w:val="none"/>
        </w:rPr>
        <w:t>投标人递交的关于本工程所有的资审资料，都必须在有效期内。如有关资审资料在年审中的，开标时必须出具发证单位的证明原件。</w:t>
      </w:r>
    </w:p>
    <w:p>
      <w:pPr>
        <w:pStyle w:val="6"/>
        <w:spacing w:before="0" w:beforeAutospacing="0" w:after="0" w:afterAutospacing="0" w:line="420" w:lineRule="exact"/>
        <w:ind w:firstLine="413" w:firstLineChars="196"/>
        <w:rPr>
          <w:b/>
          <w:color w:val="auto"/>
          <w:sz w:val="21"/>
          <w:szCs w:val="21"/>
          <w:highlight w:val="none"/>
        </w:rPr>
      </w:pPr>
      <w:r>
        <w:rPr>
          <w:rFonts w:hint="eastAsia"/>
          <w:b/>
          <w:color w:val="auto"/>
          <w:sz w:val="21"/>
          <w:szCs w:val="21"/>
          <w:highlight w:val="none"/>
        </w:rPr>
        <w:t>（</w:t>
      </w:r>
      <w:r>
        <w:rPr>
          <w:b/>
          <w:color w:val="auto"/>
          <w:sz w:val="21"/>
          <w:szCs w:val="21"/>
          <w:highlight w:val="none"/>
        </w:rPr>
        <w:t>资格</w:t>
      </w:r>
      <w:r>
        <w:rPr>
          <w:rFonts w:hint="eastAsia"/>
          <w:b/>
          <w:color w:val="auto"/>
          <w:sz w:val="21"/>
          <w:szCs w:val="21"/>
          <w:highlight w:val="none"/>
        </w:rPr>
        <w:t>后审</w:t>
      </w:r>
      <w:r>
        <w:rPr>
          <w:b/>
          <w:color w:val="auto"/>
          <w:sz w:val="21"/>
          <w:szCs w:val="21"/>
          <w:highlight w:val="none"/>
        </w:rPr>
        <w:t>时一次性递交本公告第</w:t>
      </w:r>
      <w:r>
        <w:rPr>
          <w:rFonts w:hint="eastAsia"/>
          <w:b/>
          <w:color w:val="auto"/>
          <w:sz w:val="21"/>
          <w:szCs w:val="21"/>
          <w:highlight w:val="none"/>
        </w:rPr>
        <w:t>5项</w:t>
      </w:r>
      <w:r>
        <w:rPr>
          <w:b/>
          <w:color w:val="auto"/>
          <w:sz w:val="21"/>
          <w:szCs w:val="21"/>
          <w:highlight w:val="none"/>
        </w:rPr>
        <w:t>要求的资料，不接受补充资料</w:t>
      </w:r>
      <w:r>
        <w:rPr>
          <w:rFonts w:hint="eastAsia"/>
          <w:b/>
          <w:color w:val="auto"/>
          <w:sz w:val="21"/>
          <w:szCs w:val="21"/>
          <w:highlight w:val="none"/>
        </w:rPr>
        <w:t>）。</w:t>
      </w:r>
    </w:p>
    <w:p>
      <w:pPr>
        <w:pStyle w:val="6"/>
        <w:spacing w:before="0" w:beforeAutospacing="0" w:after="0" w:afterAutospacing="0" w:line="420" w:lineRule="exact"/>
        <w:ind w:firstLine="120"/>
        <w:rPr>
          <w:sz w:val="21"/>
          <w:szCs w:val="21"/>
        </w:rPr>
      </w:pPr>
      <w:r>
        <w:rPr>
          <w:rFonts w:hint="eastAsia"/>
          <w:b/>
          <w:sz w:val="21"/>
          <w:szCs w:val="21"/>
          <w:shd w:val="clear" w:color="auto" w:fill="FFFFFF"/>
        </w:rPr>
        <w:t>6.</w:t>
      </w:r>
      <w:r>
        <w:rPr>
          <w:rStyle w:val="10"/>
          <w:rFonts w:hint="eastAsia"/>
          <w:sz w:val="21"/>
          <w:szCs w:val="21"/>
          <w:shd w:val="clear" w:color="auto" w:fill="FFFFFF"/>
        </w:rPr>
        <w:t>公告时间及发出招标文件时间、地点：</w:t>
      </w:r>
      <w:r>
        <w:rPr>
          <w:rFonts w:cs="Tahoma"/>
          <w:sz w:val="21"/>
          <w:szCs w:val="21"/>
          <w:shd w:val="clear" w:color="auto" w:fill="FFFFFF"/>
        </w:rPr>
        <w:t xml:space="preserve"> </w:t>
      </w:r>
    </w:p>
    <w:p>
      <w:pPr>
        <w:pStyle w:val="6"/>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（1）公告时</w:t>
      </w:r>
      <w:r>
        <w:rPr>
          <w:rFonts w:hint="eastAsia"/>
          <w:color w:val="auto"/>
          <w:sz w:val="21"/>
          <w:szCs w:val="21"/>
          <w:shd w:val="clear" w:color="auto" w:fill="FFFFFF"/>
        </w:rPr>
        <w:t>间：</w:t>
      </w:r>
      <w:r>
        <w:rPr>
          <w:rFonts w:hint="eastAsia"/>
          <w:snapToGrid w:val="0"/>
          <w:color w:val="auto"/>
          <w:sz w:val="21"/>
          <w:szCs w:val="21"/>
          <w:highlight w:val="none"/>
        </w:rPr>
        <w:t>20</w:t>
      </w:r>
      <w:r>
        <w:rPr>
          <w:snapToGrid w:val="0"/>
          <w:color w:val="auto"/>
          <w:sz w:val="21"/>
          <w:szCs w:val="21"/>
          <w:highlight w:val="none"/>
        </w:rPr>
        <w:t>2</w:t>
      </w:r>
      <w:r>
        <w:rPr>
          <w:rFonts w:hint="eastAsia"/>
          <w:snapToGrid w:val="0"/>
          <w:color w:val="auto"/>
          <w:sz w:val="21"/>
          <w:szCs w:val="21"/>
          <w:highlight w:val="none"/>
          <w:lang w:val="en-US" w:eastAsia="zh-CN"/>
        </w:rPr>
        <w:t>4</w:t>
      </w:r>
      <w:r>
        <w:rPr>
          <w:rFonts w:hint="eastAsia"/>
          <w:snapToGrid w:val="0"/>
          <w:color w:val="auto"/>
          <w:sz w:val="21"/>
          <w:szCs w:val="21"/>
          <w:highlight w:val="none"/>
        </w:rPr>
        <w:t>年</w:t>
      </w:r>
      <w:r>
        <w:rPr>
          <w:rFonts w:hint="eastAsia"/>
          <w:snapToGrid w:val="0"/>
          <w:color w:val="auto"/>
          <w:sz w:val="21"/>
          <w:szCs w:val="21"/>
          <w:highlight w:val="none"/>
          <w:lang w:val="en-US" w:eastAsia="zh-CN"/>
        </w:rPr>
        <w:t>6</w:t>
      </w:r>
      <w:r>
        <w:rPr>
          <w:rFonts w:hint="eastAsia"/>
          <w:snapToGrid w:val="0"/>
          <w:color w:val="auto"/>
          <w:sz w:val="21"/>
          <w:szCs w:val="21"/>
          <w:highlight w:val="none"/>
        </w:rPr>
        <w:t>月</w:t>
      </w:r>
      <w:r>
        <w:rPr>
          <w:rFonts w:hint="eastAsia"/>
          <w:snapToGrid w:val="0"/>
          <w:color w:val="auto"/>
          <w:sz w:val="21"/>
          <w:szCs w:val="21"/>
          <w:highlight w:val="none"/>
          <w:lang w:val="en-US" w:eastAsia="zh-CN"/>
        </w:rPr>
        <w:t>4</w:t>
      </w:r>
      <w:r>
        <w:rPr>
          <w:rFonts w:hint="eastAsia"/>
          <w:snapToGrid w:val="0"/>
          <w:color w:val="auto"/>
          <w:sz w:val="21"/>
          <w:szCs w:val="21"/>
          <w:highlight w:val="none"/>
        </w:rPr>
        <w:t>日</w:t>
      </w:r>
      <w:r>
        <w:rPr>
          <w:rFonts w:hint="eastAsia"/>
          <w:snapToGrid w:val="0"/>
          <w:color w:val="auto"/>
          <w:sz w:val="21"/>
          <w:szCs w:val="21"/>
          <w:highlight w:val="none"/>
          <w:lang w:eastAsia="zh-CN"/>
        </w:rPr>
        <w:t>～</w:t>
      </w:r>
      <w:r>
        <w:rPr>
          <w:rFonts w:hint="eastAsia"/>
          <w:snapToGrid w:val="0"/>
          <w:color w:val="auto"/>
          <w:sz w:val="21"/>
          <w:szCs w:val="21"/>
          <w:highlight w:val="none"/>
        </w:rPr>
        <w:t>20</w:t>
      </w:r>
      <w:r>
        <w:rPr>
          <w:snapToGrid w:val="0"/>
          <w:color w:val="auto"/>
          <w:sz w:val="21"/>
          <w:szCs w:val="21"/>
          <w:highlight w:val="none"/>
        </w:rPr>
        <w:t>2</w:t>
      </w:r>
      <w:r>
        <w:rPr>
          <w:rFonts w:hint="eastAsia"/>
          <w:snapToGrid w:val="0"/>
          <w:color w:val="auto"/>
          <w:sz w:val="21"/>
          <w:szCs w:val="21"/>
          <w:highlight w:val="none"/>
          <w:lang w:val="en-US" w:eastAsia="zh-CN"/>
        </w:rPr>
        <w:t>4</w:t>
      </w:r>
      <w:r>
        <w:rPr>
          <w:rFonts w:hint="eastAsia"/>
          <w:snapToGrid w:val="0"/>
          <w:color w:val="auto"/>
          <w:sz w:val="21"/>
          <w:szCs w:val="21"/>
          <w:highlight w:val="none"/>
        </w:rPr>
        <w:t>年</w:t>
      </w:r>
      <w:r>
        <w:rPr>
          <w:rFonts w:hint="eastAsia"/>
          <w:snapToGrid w:val="0"/>
          <w:color w:val="auto"/>
          <w:sz w:val="21"/>
          <w:szCs w:val="21"/>
          <w:highlight w:val="none"/>
          <w:lang w:val="en-US" w:eastAsia="zh-CN"/>
        </w:rPr>
        <w:t>6</w:t>
      </w:r>
      <w:r>
        <w:rPr>
          <w:rFonts w:hint="eastAsia"/>
          <w:snapToGrid w:val="0"/>
          <w:color w:val="auto"/>
          <w:sz w:val="21"/>
          <w:szCs w:val="21"/>
          <w:highlight w:val="none"/>
        </w:rPr>
        <w:t>月</w:t>
      </w:r>
      <w:r>
        <w:rPr>
          <w:rFonts w:hint="eastAsia"/>
          <w:snapToGrid w:val="0"/>
          <w:color w:val="auto"/>
          <w:sz w:val="21"/>
          <w:szCs w:val="21"/>
          <w:highlight w:val="none"/>
          <w:lang w:val="en-US" w:eastAsia="zh-CN"/>
        </w:rPr>
        <w:t>7</w:t>
      </w:r>
      <w:r>
        <w:rPr>
          <w:rFonts w:hint="eastAsia"/>
          <w:snapToGrid w:val="0"/>
          <w:color w:val="auto"/>
          <w:sz w:val="21"/>
          <w:szCs w:val="21"/>
          <w:highlight w:val="none"/>
        </w:rPr>
        <w:t>日</w:t>
      </w:r>
      <w:r>
        <w:rPr>
          <w:rFonts w:hint="eastAsia"/>
          <w:color w:val="auto"/>
          <w:sz w:val="21"/>
          <w:szCs w:val="21"/>
          <w:shd w:val="clear" w:color="auto" w:fill="FFFFFF"/>
        </w:rPr>
        <w:t>；</w:t>
      </w:r>
      <w:r>
        <w:rPr>
          <w:color w:val="auto"/>
          <w:sz w:val="21"/>
          <w:szCs w:val="21"/>
          <w:shd w:val="clear" w:color="auto" w:fill="FFFFFF"/>
        </w:rPr>
        <w:t xml:space="preserve"> </w:t>
      </w:r>
    </w:p>
    <w:p>
      <w:pPr>
        <w:pStyle w:val="6"/>
        <w:spacing w:before="0" w:beforeAutospacing="0" w:after="0" w:afterAutospacing="0" w:line="360" w:lineRule="auto"/>
        <w:rPr>
          <w:sz w:val="21"/>
          <w:szCs w:val="21"/>
          <w:shd w:val="clear" w:color="auto" w:fill="FFFFFF"/>
        </w:rPr>
      </w:pPr>
      <w:r>
        <w:rPr>
          <w:rFonts w:hint="eastAsia"/>
          <w:sz w:val="21"/>
          <w:szCs w:val="21"/>
        </w:rPr>
        <w:t xml:space="preserve">    </w:t>
      </w:r>
      <w:r>
        <w:rPr>
          <w:rFonts w:hint="eastAsia"/>
          <w:sz w:val="21"/>
          <w:szCs w:val="21"/>
          <w:shd w:val="clear" w:color="auto" w:fill="FFFFFF"/>
        </w:rPr>
        <w:t xml:space="preserve"> 招标文件： 详见附件；</w:t>
      </w:r>
    </w:p>
    <w:p>
      <w:pPr>
        <w:pStyle w:val="6"/>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6"/>
        <w:spacing w:before="0" w:beforeAutospacing="0" w:after="0" w:afterAutospacing="0" w:line="360" w:lineRule="auto"/>
        <w:rPr>
          <w:b/>
          <w:sz w:val="21"/>
          <w:szCs w:val="21"/>
          <w:shd w:val="clear" w:color="auto" w:fill="FFFFFF"/>
        </w:rPr>
      </w:pPr>
      <w:r>
        <w:rPr>
          <w:rFonts w:hint="eastAsia"/>
          <w:sz w:val="21"/>
          <w:szCs w:val="21"/>
          <w:shd w:val="clear" w:color="auto" w:fill="FFFFFF"/>
        </w:rPr>
        <w:t xml:space="preserve">     以上材料请各投标单位自行下载。</w:t>
      </w:r>
    </w:p>
    <w:p>
      <w:pPr>
        <w:pStyle w:val="6"/>
        <w:numPr>
          <w:ilvl w:val="0"/>
          <w:numId w:val="0"/>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（2）现场考察及标前答疑会信息：</w:t>
      </w:r>
    </w:p>
    <w:p>
      <w:pPr>
        <w:pStyle w:val="6"/>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①投标人如有需要，可自行考察现场。由此产生的费用由投标人自理。</w:t>
      </w:r>
    </w:p>
    <w:p>
      <w:pPr>
        <w:pStyle w:val="6"/>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w:t>
      </w:r>
      <w:r>
        <w:rPr>
          <w:rFonts w:hint="eastAsia"/>
          <w:color w:val="auto"/>
          <w:sz w:val="21"/>
          <w:szCs w:val="21"/>
          <w:shd w:val="clear" w:color="auto" w:fill="FFFFFF"/>
        </w:rPr>
        <w:t>请于202</w:t>
      </w:r>
      <w:r>
        <w:rPr>
          <w:rFonts w:hint="eastAsia"/>
          <w:color w:val="auto"/>
          <w:sz w:val="21"/>
          <w:szCs w:val="21"/>
          <w:shd w:val="clear" w:color="auto" w:fill="FFFFFF"/>
          <w:lang w:val="en-US" w:eastAsia="zh-CN"/>
        </w:rPr>
        <w:t>4</w:t>
      </w:r>
      <w:r>
        <w:rPr>
          <w:rFonts w:hint="eastAsia"/>
          <w:color w:val="auto"/>
          <w:sz w:val="21"/>
          <w:szCs w:val="21"/>
          <w:shd w:val="clear" w:color="auto" w:fill="FFFFFF"/>
        </w:rPr>
        <w:t>年</w:t>
      </w:r>
      <w:r>
        <w:rPr>
          <w:rFonts w:hint="eastAsia"/>
          <w:color w:val="auto"/>
          <w:sz w:val="21"/>
          <w:szCs w:val="21"/>
          <w:shd w:val="clear" w:color="auto" w:fill="FFFFFF"/>
          <w:lang w:val="en-US" w:eastAsia="zh-CN"/>
        </w:rPr>
        <w:t>6</w:t>
      </w:r>
      <w:r>
        <w:rPr>
          <w:rFonts w:hint="eastAsia"/>
          <w:color w:val="auto"/>
          <w:sz w:val="21"/>
          <w:szCs w:val="21"/>
          <w:shd w:val="clear" w:color="auto" w:fill="FFFFFF"/>
        </w:rPr>
        <w:t>月</w:t>
      </w:r>
      <w:r>
        <w:rPr>
          <w:rFonts w:hint="eastAsia"/>
          <w:color w:val="auto"/>
          <w:sz w:val="21"/>
          <w:szCs w:val="21"/>
          <w:shd w:val="clear" w:color="auto" w:fill="FFFFFF"/>
          <w:lang w:val="en-US" w:eastAsia="zh-CN"/>
        </w:rPr>
        <w:t>11</w:t>
      </w:r>
      <w:r>
        <w:rPr>
          <w:rFonts w:hint="eastAsia"/>
          <w:color w:val="auto"/>
          <w:sz w:val="21"/>
          <w:szCs w:val="21"/>
          <w:shd w:val="clear" w:color="auto" w:fill="FFFFFF"/>
        </w:rPr>
        <w:t>日上</w:t>
      </w:r>
      <w:r>
        <w:rPr>
          <w:rFonts w:hint="eastAsia"/>
          <w:sz w:val="21"/>
          <w:szCs w:val="21"/>
          <w:shd w:val="clear" w:color="auto" w:fill="FFFFFF"/>
        </w:rPr>
        <w:t>午9:00前，将疑问以书面形式并加盖投标人公章送至江苏华溯工程项目管理有限公司处，逾期不予受理。</w:t>
      </w:r>
      <w:r>
        <w:rPr>
          <w:rFonts w:hint="eastAsia"/>
          <w:color w:val="auto"/>
          <w:sz w:val="21"/>
          <w:szCs w:val="21"/>
          <w:shd w:val="clear" w:color="auto" w:fill="FFFFFF"/>
        </w:rPr>
        <w:t>202</w:t>
      </w:r>
      <w:r>
        <w:rPr>
          <w:rFonts w:hint="eastAsia"/>
          <w:color w:val="auto"/>
          <w:sz w:val="21"/>
          <w:szCs w:val="21"/>
          <w:shd w:val="clear" w:color="auto" w:fill="FFFFFF"/>
          <w:lang w:val="en-US" w:eastAsia="zh-CN"/>
        </w:rPr>
        <w:t>4</w:t>
      </w:r>
      <w:r>
        <w:rPr>
          <w:rFonts w:hint="eastAsia"/>
          <w:color w:val="auto"/>
          <w:sz w:val="21"/>
          <w:szCs w:val="21"/>
          <w:shd w:val="clear" w:color="auto" w:fill="FFFFFF"/>
        </w:rPr>
        <w:t>年</w:t>
      </w:r>
      <w:r>
        <w:rPr>
          <w:rFonts w:hint="eastAsia"/>
          <w:color w:val="auto"/>
          <w:sz w:val="21"/>
          <w:szCs w:val="21"/>
          <w:shd w:val="clear" w:color="auto" w:fill="FFFFFF"/>
          <w:lang w:val="en-US" w:eastAsia="zh-CN"/>
        </w:rPr>
        <w:t>6</w:t>
      </w:r>
      <w:r>
        <w:rPr>
          <w:rFonts w:hint="eastAsia"/>
          <w:color w:val="auto"/>
          <w:sz w:val="21"/>
          <w:szCs w:val="21"/>
          <w:shd w:val="clear" w:color="auto" w:fill="FFFFFF"/>
        </w:rPr>
        <w:t>月</w:t>
      </w:r>
      <w:r>
        <w:rPr>
          <w:rFonts w:hint="eastAsia"/>
          <w:color w:val="auto"/>
          <w:sz w:val="21"/>
          <w:szCs w:val="21"/>
          <w:shd w:val="clear" w:color="auto" w:fill="FFFFFF"/>
          <w:lang w:val="en-US" w:eastAsia="zh-CN"/>
        </w:rPr>
        <w:t>11</w:t>
      </w:r>
      <w:r>
        <w:rPr>
          <w:rFonts w:hint="eastAsia"/>
          <w:color w:val="auto"/>
          <w:sz w:val="21"/>
          <w:szCs w:val="21"/>
          <w:shd w:val="clear" w:color="auto" w:fill="FFFFFF"/>
        </w:rPr>
        <w:t>日下午17</w:t>
      </w:r>
      <w:r>
        <w:rPr>
          <w:rFonts w:hint="eastAsia"/>
          <w:sz w:val="21"/>
          <w:szCs w:val="21"/>
          <w:shd w:val="clear" w:color="auto" w:fill="FFFFFF"/>
        </w:rPr>
        <w:t>:00前，由招标代理以网上澄清的形式统一回复。招标人有权对已发出的招标文件等内容进行必要的澄清，招标人可视具体情况，延长投标截止时间和开标时间。</w:t>
      </w:r>
    </w:p>
    <w:p>
      <w:pPr>
        <w:pStyle w:val="6"/>
        <w:spacing w:before="0" w:beforeAutospacing="0" w:after="0" w:afterAutospacing="0" w:line="360" w:lineRule="auto"/>
        <w:ind w:firstLine="210" w:firstLineChars="100"/>
        <w:rPr>
          <w:sz w:val="21"/>
          <w:szCs w:val="21"/>
          <w:highlight w:val="yellow"/>
          <w:shd w:val="clear" w:color="auto" w:fill="FFFFFF"/>
        </w:rPr>
      </w:pPr>
      <w:r>
        <w:rPr>
          <w:rFonts w:hint="eastAsia"/>
          <w:sz w:val="21"/>
          <w:szCs w:val="21"/>
          <w:shd w:val="clear" w:color="auto" w:fill="FFFFFF"/>
        </w:rPr>
        <w:t>（3）开标时</w:t>
      </w:r>
      <w:r>
        <w:rPr>
          <w:rFonts w:hint="eastAsia"/>
          <w:color w:val="auto"/>
          <w:sz w:val="21"/>
          <w:szCs w:val="21"/>
          <w:shd w:val="clear" w:color="auto" w:fill="FFFFFF"/>
        </w:rPr>
        <w:t>间：202</w:t>
      </w:r>
      <w:r>
        <w:rPr>
          <w:rFonts w:hint="eastAsia"/>
          <w:color w:val="auto"/>
          <w:sz w:val="21"/>
          <w:szCs w:val="21"/>
          <w:shd w:val="clear" w:color="auto" w:fill="FFFFFF"/>
          <w:lang w:val="en-US" w:eastAsia="zh-CN"/>
        </w:rPr>
        <w:t>4</w:t>
      </w:r>
      <w:r>
        <w:rPr>
          <w:rFonts w:hint="eastAsia"/>
          <w:color w:val="auto"/>
          <w:sz w:val="21"/>
          <w:szCs w:val="21"/>
          <w:shd w:val="clear" w:color="auto" w:fill="FFFFFF"/>
        </w:rPr>
        <w:t>年</w:t>
      </w:r>
      <w:r>
        <w:rPr>
          <w:rFonts w:hint="eastAsia"/>
          <w:color w:val="auto"/>
          <w:sz w:val="21"/>
          <w:szCs w:val="21"/>
          <w:shd w:val="clear" w:color="auto" w:fill="FFFFFF"/>
          <w:lang w:val="en-US" w:eastAsia="zh-CN"/>
        </w:rPr>
        <w:t>6</w:t>
      </w:r>
      <w:r>
        <w:rPr>
          <w:rFonts w:hint="eastAsia"/>
          <w:color w:val="auto"/>
          <w:sz w:val="21"/>
          <w:szCs w:val="21"/>
          <w:shd w:val="clear" w:color="auto" w:fill="FFFFFF"/>
        </w:rPr>
        <w:t>月</w:t>
      </w:r>
      <w:r>
        <w:rPr>
          <w:rFonts w:hint="eastAsia"/>
          <w:color w:val="auto"/>
          <w:sz w:val="21"/>
          <w:szCs w:val="21"/>
          <w:shd w:val="clear" w:color="auto" w:fill="FFFFFF"/>
          <w:lang w:val="en-US" w:eastAsia="zh-CN"/>
        </w:rPr>
        <w:t>17</w:t>
      </w:r>
      <w:r>
        <w:rPr>
          <w:rFonts w:hint="eastAsia"/>
          <w:color w:val="auto"/>
          <w:sz w:val="21"/>
          <w:szCs w:val="21"/>
          <w:shd w:val="clear" w:color="auto" w:fill="FFFFFF"/>
        </w:rPr>
        <w:t>日</w:t>
      </w:r>
      <w:r>
        <w:rPr>
          <w:rFonts w:hint="eastAsia"/>
          <w:color w:val="auto"/>
          <w:sz w:val="21"/>
          <w:szCs w:val="21"/>
          <w:shd w:val="clear" w:color="auto" w:fill="FFFFFF"/>
          <w:lang w:val="en-US" w:eastAsia="zh-CN"/>
        </w:rPr>
        <w:t>15:30</w:t>
      </w:r>
      <w:r>
        <w:rPr>
          <w:rFonts w:hint="eastAsia"/>
          <w:color w:val="auto"/>
          <w:sz w:val="21"/>
          <w:szCs w:val="21"/>
          <w:shd w:val="clear" w:color="auto" w:fill="FFFFFF"/>
        </w:rPr>
        <w:t xml:space="preserve">；   </w:t>
      </w:r>
    </w:p>
    <w:p>
      <w:pPr>
        <w:pStyle w:val="6"/>
        <w:spacing w:before="0" w:beforeAutospacing="0" w:after="0" w:afterAutospacing="0" w:line="360" w:lineRule="auto"/>
        <w:ind w:firstLine="210" w:firstLineChars="100"/>
        <w:rPr>
          <w:rFonts w:hint="eastAsia"/>
          <w:snapToGrid w:val="0"/>
          <w:color w:val="auto"/>
          <w:sz w:val="21"/>
          <w:szCs w:val="21"/>
          <w:highlight w:val="none"/>
        </w:rPr>
      </w:pPr>
      <w:r>
        <w:rPr>
          <w:rFonts w:hint="eastAsia"/>
          <w:sz w:val="21"/>
          <w:szCs w:val="21"/>
          <w:shd w:val="clear" w:color="auto" w:fill="FFFFFF"/>
        </w:rPr>
        <w:t>（4）开标地点：江</w:t>
      </w:r>
      <w:r>
        <w:rPr>
          <w:rFonts w:hint="eastAsia"/>
          <w:color w:val="auto"/>
          <w:sz w:val="21"/>
          <w:szCs w:val="21"/>
          <w:highlight w:val="none"/>
          <w:shd w:val="clear" w:color="auto" w:fill="FFFFFF"/>
        </w:rPr>
        <w:t>苏华溯工程项目管理有限公司三楼开标室（金胜东路19号）。</w:t>
      </w:r>
    </w:p>
    <w:p>
      <w:pPr>
        <w:spacing w:line="420" w:lineRule="exact"/>
        <w:rPr>
          <w:rFonts w:hint="eastAsia" w:ascii="宋体" w:hAnsi="宋体" w:cs="宋体"/>
          <w:kern w:val="0"/>
          <w:szCs w:val="21"/>
        </w:rPr>
      </w:pPr>
      <w:r>
        <w:rPr>
          <w:rFonts w:hint="eastAsia" w:ascii="宋体" w:hAnsi="宋体" w:cs="宋体"/>
          <w:b/>
          <w:color w:val="auto"/>
          <w:kern w:val="0"/>
          <w:szCs w:val="21"/>
          <w:highlight w:val="none"/>
        </w:rPr>
        <w:t>7.评标办法：</w:t>
      </w:r>
      <w:r>
        <w:rPr>
          <w:rFonts w:hint="eastAsia" w:ascii="宋体" w:hAnsi="宋体" w:eastAsia="宋体" w:cs="宋体"/>
          <w:color w:val="auto"/>
          <w:kern w:val="0"/>
          <w:sz w:val="21"/>
          <w:szCs w:val="21"/>
          <w:highlight w:val="none"/>
          <w:lang w:val="zh-CN" w:eastAsia="zh-CN" w:bidi="ar-SA"/>
        </w:rPr>
        <w:t>①单因素评标法一，②单因素评标法</w:t>
      </w:r>
      <w:r>
        <w:rPr>
          <w:rFonts w:hint="eastAsia" w:ascii="宋体" w:hAnsi="宋体" w:eastAsia="宋体" w:cs="宋体"/>
          <w:color w:val="auto"/>
          <w:kern w:val="0"/>
          <w:sz w:val="21"/>
          <w:szCs w:val="21"/>
          <w:highlight w:val="none"/>
          <w:lang w:val="en-US" w:eastAsia="zh-CN" w:bidi="ar-SA"/>
        </w:rPr>
        <w:t>二</w:t>
      </w:r>
      <w:r>
        <w:rPr>
          <w:rFonts w:hint="eastAsia" w:ascii="宋体" w:hAnsi="宋体" w:eastAsia="宋体" w:cs="宋体"/>
          <w:color w:val="auto"/>
          <w:kern w:val="0"/>
          <w:sz w:val="21"/>
          <w:szCs w:val="21"/>
          <w:highlight w:val="none"/>
          <w:lang w:val="zh-CN" w:eastAsia="zh-CN" w:bidi="ar-SA"/>
        </w:rPr>
        <w:t>（两种办法开标时招标人随机抽取）。如报价相同，则招标人以</w:t>
      </w:r>
      <w:r>
        <w:rPr>
          <w:rFonts w:hint="eastAsia" w:ascii="宋体" w:hAnsi="宋体" w:eastAsia="宋体" w:cs="宋体"/>
          <w:kern w:val="0"/>
          <w:sz w:val="21"/>
          <w:szCs w:val="21"/>
          <w:lang w:val="zh-CN" w:eastAsia="zh-CN" w:bidi="ar-SA"/>
        </w:rPr>
        <w:t>抽签的方式现场确定中标人。</w:t>
      </w:r>
    </w:p>
    <w:p>
      <w:pPr>
        <w:spacing w:line="360" w:lineRule="auto"/>
        <w:rPr>
          <w:rFonts w:hint="eastAsia" w:ascii="宋体" w:hAnsi="宋体" w:cs="宋体"/>
          <w:b/>
          <w:kern w:val="0"/>
          <w:szCs w:val="21"/>
        </w:rPr>
      </w:pPr>
      <w:r>
        <w:rPr>
          <w:rFonts w:hint="eastAsia" w:ascii="宋体" w:hAnsi="宋体" w:cs="宋体"/>
          <w:b/>
          <w:kern w:val="0"/>
          <w:szCs w:val="21"/>
        </w:rPr>
        <w:t>8.付款方式：</w:t>
      </w:r>
    </w:p>
    <w:p>
      <w:pPr>
        <w:pStyle w:val="6"/>
        <w:spacing w:before="0" w:beforeAutospacing="0" w:after="0" w:afterAutospacing="0" w:line="420" w:lineRule="exact"/>
        <w:ind w:firstLine="211" w:firstLineChars="100"/>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1）在合同工期内工程竣工验收合格后，2025年1月1日前付至合同价款的60%（扣除暂列金及未施工工程量）；</w:t>
      </w:r>
    </w:p>
    <w:p>
      <w:pPr>
        <w:pStyle w:val="6"/>
        <w:spacing w:before="0" w:beforeAutospacing="0" w:after="0" w:afterAutospacing="0" w:line="420" w:lineRule="exact"/>
        <w:ind w:firstLine="211" w:firstLineChars="100"/>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2）2026年1月1日前按照审定价付清余款（保修金除外）。</w:t>
      </w:r>
    </w:p>
    <w:p>
      <w:pPr>
        <w:pStyle w:val="6"/>
        <w:spacing w:before="0" w:beforeAutospacing="0" w:after="0" w:afterAutospacing="0" w:line="420" w:lineRule="exact"/>
        <w:ind w:firstLine="211" w:firstLineChars="100"/>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3）上述款项均须在工程竣工验收合格后方可支付。</w:t>
      </w:r>
    </w:p>
    <w:p>
      <w:pPr>
        <w:pStyle w:val="6"/>
        <w:spacing w:before="0" w:beforeAutospacing="0" w:after="0" w:afterAutospacing="0" w:line="420" w:lineRule="exact"/>
        <w:ind w:firstLine="211" w:firstLineChars="100"/>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注：中标人必须将竣工资料及其他相关施工资料提交完成后方可进行竣工验收，工程竣工验收合格方可进行工程结算审计。</w:t>
      </w:r>
    </w:p>
    <w:p>
      <w:pPr>
        <w:spacing w:line="420" w:lineRule="exact"/>
        <w:rPr>
          <w:rFonts w:hint="eastAsia" w:ascii="宋体" w:hAnsi="宋体" w:cs="宋体"/>
          <w:b/>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以现金或微信方式缴纳，由招标代理统一收取并开具收据。</w:t>
      </w:r>
    </w:p>
    <w:p>
      <w:pPr>
        <w:spacing w:line="420" w:lineRule="exact"/>
        <w:rPr>
          <w:rFonts w:hint="eastAsia" w:ascii="宋体" w:hAnsi="宋体" w:cs="宋体"/>
          <w:bCs/>
          <w:kern w:val="0"/>
          <w:szCs w:val="21"/>
        </w:rPr>
      </w:pPr>
      <w:r>
        <w:rPr>
          <w:rFonts w:hint="eastAsia" w:ascii="宋体" w:hAnsi="宋体" w:cs="宋体"/>
          <w:b/>
          <w:bCs/>
          <w:kern w:val="0"/>
          <w:szCs w:val="21"/>
        </w:rPr>
        <w:t>10.代理机构：</w:t>
      </w:r>
      <w:r>
        <w:rPr>
          <w:rFonts w:hint="eastAsia" w:ascii="宋体" w:hAnsi="宋体" w:cs="宋体"/>
          <w:bCs/>
          <w:szCs w:val="21"/>
          <w:lang w:val="zh-CN"/>
        </w:rPr>
        <w:t>本工程由</w:t>
      </w:r>
      <w:r>
        <w:rPr>
          <w:rFonts w:hint="eastAsia" w:ascii="宋体" w:hAnsi="宋体" w:cs="宋体"/>
          <w:sz w:val="21"/>
          <w:szCs w:val="21"/>
        </w:rPr>
        <w:t>江苏华溯工程项目管理有限公司</w:t>
      </w:r>
      <w:r>
        <w:rPr>
          <w:rFonts w:hint="eastAsia" w:ascii="宋体" w:hAnsi="宋体" w:cs="宋体"/>
          <w:bCs/>
          <w:szCs w:val="21"/>
          <w:lang w:val="zh-CN"/>
        </w:rPr>
        <w:t>受业主委托具体负责本工程的招标事宜。</w:t>
      </w:r>
      <w:r>
        <w:rPr>
          <w:rFonts w:hint="eastAsia" w:ascii="宋体" w:hAnsi="宋体" w:cs="宋体"/>
          <w:bCs/>
          <w:kern w:val="0"/>
          <w:szCs w:val="21"/>
        </w:rPr>
        <w:t> </w:t>
      </w:r>
    </w:p>
    <w:tbl>
      <w:tblPr>
        <w:tblStyle w:val="7"/>
        <w:tblpPr w:leftFromText="180" w:rightFromText="180" w:vertAnchor="text" w:horzAnchor="page" w:tblpXSpec="center" w:tblpY="45"/>
        <w:tblW w:w="8725" w:type="dxa"/>
        <w:jc w:val="center"/>
        <w:tblLayout w:type="fixed"/>
        <w:tblCellMar>
          <w:top w:w="0" w:type="dxa"/>
          <w:left w:w="108" w:type="dxa"/>
          <w:bottom w:w="0" w:type="dxa"/>
          <w:right w:w="108" w:type="dxa"/>
        </w:tblCellMar>
      </w:tblPr>
      <w:tblGrid>
        <w:gridCol w:w="4527"/>
        <w:gridCol w:w="4198"/>
      </w:tblGrid>
      <w:tr>
        <w:tblPrEx>
          <w:tblCellMar>
            <w:top w:w="0" w:type="dxa"/>
            <w:left w:w="108" w:type="dxa"/>
            <w:bottom w:w="0" w:type="dxa"/>
            <w:right w:w="108" w:type="dxa"/>
          </w:tblCellMar>
        </w:tblPrEx>
        <w:trPr>
          <w:trHeight w:val="475" w:hRule="atLeast"/>
          <w:jc w:val="center"/>
        </w:trPr>
        <w:tc>
          <w:tcPr>
            <w:tcW w:w="4527" w:type="dxa"/>
            <w:noWrap w:val="0"/>
            <w:vAlign w:val="top"/>
          </w:tcPr>
          <w:p>
            <w:pPr>
              <w:widowControl/>
              <w:spacing w:line="420" w:lineRule="exact"/>
              <w:rPr>
                <w:rFonts w:hint="eastAsia" w:ascii="宋体" w:hAnsi="宋体" w:eastAsia="宋体" w:cs="宋体"/>
                <w:sz w:val="21"/>
                <w:szCs w:val="21"/>
                <w:lang w:eastAsia="zh-CN"/>
              </w:rPr>
            </w:pPr>
            <w:r>
              <w:rPr>
                <w:rFonts w:hint="eastAsia" w:ascii="宋体" w:hAnsi="宋体" w:cs="宋体"/>
                <w:sz w:val="21"/>
                <w:szCs w:val="21"/>
              </w:rPr>
              <w:t>招标人：</w:t>
            </w:r>
            <w:r>
              <w:rPr>
                <w:rFonts w:hint="eastAsia" w:ascii="宋体" w:hAnsi="宋体" w:cs="宋体"/>
                <w:sz w:val="21"/>
                <w:szCs w:val="21"/>
                <w:lang w:eastAsia="zh-CN"/>
              </w:rPr>
              <w:t>常州市金坛区华</w:t>
            </w:r>
            <w:bookmarkStart w:id="0" w:name="_GoBack"/>
            <w:bookmarkEnd w:id="0"/>
            <w:r>
              <w:rPr>
                <w:rFonts w:hint="eastAsia" w:ascii="宋体" w:hAnsi="宋体" w:cs="宋体"/>
                <w:sz w:val="21"/>
                <w:szCs w:val="21"/>
                <w:lang w:eastAsia="zh-CN"/>
              </w:rPr>
              <w:t>罗庚实验学校</w:t>
            </w:r>
          </w:p>
        </w:tc>
        <w:tc>
          <w:tcPr>
            <w:tcW w:w="4198" w:type="dxa"/>
            <w:noWrap w:val="0"/>
            <w:vAlign w:val="top"/>
          </w:tcPr>
          <w:p>
            <w:pPr>
              <w:spacing w:line="420" w:lineRule="exact"/>
              <w:rPr>
                <w:rFonts w:hint="eastAsia" w:ascii="宋体" w:hAnsi="宋体" w:cs="宋体"/>
                <w:szCs w:val="21"/>
              </w:rPr>
            </w:pPr>
            <w:r>
              <w:rPr>
                <w:rFonts w:hint="eastAsia" w:ascii="宋体" w:hAnsi="宋体" w:cs="宋体"/>
                <w:kern w:val="0"/>
                <w:szCs w:val="21"/>
              </w:rPr>
              <w:t>招标代理：</w:t>
            </w:r>
            <w:r>
              <w:rPr>
                <w:rFonts w:hint="eastAsia" w:ascii="宋体" w:hAnsi="宋体" w:cs="宋体"/>
                <w:sz w:val="21"/>
                <w:szCs w:val="21"/>
              </w:rPr>
              <w:t>江苏华溯工程项目管理有限公司</w:t>
            </w:r>
          </w:p>
        </w:tc>
      </w:tr>
      <w:tr>
        <w:tblPrEx>
          <w:tblCellMar>
            <w:top w:w="0" w:type="dxa"/>
            <w:left w:w="108" w:type="dxa"/>
            <w:bottom w:w="0" w:type="dxa"/>
            <w:right w:w="108" w:type="dxa"/>
          </w:tblCellMar>
        </w:tblPrEx>
        <w:trPr>
          <w:trHeight w:val="487" w:hRule="atLeast"/>
          <w:jc w:val="center"/>
        </w:trPr>
        <w:tc>
          <w:tcPr>
            <w:tcW w:w="4527" w:type="dxa"/>
            <w:noWrap w:val="0"/>
            <w:vAlign w:val="top"/>
          </w:tcPr>
          <w:p>
            <w:pPr>
              <w:widowControl/>
              <w:spacing w:line="420" w:lineRule="exact"/>
              <w:rPr>
                <w:rFonts w:hint="eastAsia" w:ascii="宋体" w:hAnsi="宋体" w:cs="宋体"/>
                <w:sz w:val="21"/>
                <w:szCs w:val="21"/>
              </w:rPr>
            </w:pPr>
            <w:r>
              <w:rPr>
                <w:rFonts w:hint="eastAsia" w:ascii="宋体" w:hAnsi="宋体" w:cs="宋体"/>
                <w:sz w:val="21"/>
                <w:szCs w:val="21"/>
              </w:rPr>
              <w:t>地 址：</w:t>
            </w:r>
            <w:r>
              <w:rPr>
                <w:rFonts w:hint="eastAsia" w:ascii="宋体" w:hAnsi="宋体" w:cs="宋体"/>
                <w:sz w:val="21"/>
                <w:szCs w:val="21"/>
                <w:lang w:eastAsia="zh-CN"/>
              </w:rPr>
              <w:t>江苏省常州市金坛区学基路66号</w:t>
            </w:r>
          </w:p>
        </w:tc>
        <w:tc>
          <w:tcPr>
            <w:tcW w:w="4198" w:type="dxa"/>
            <w:noWrap w:val="0"/>
            <w:vAlign w:val="top"/>
          </w:tcPr>
          <w:p>
            <w:pPr>
              <w:widowControl/>
              <w:spacing w:line="420" w:lineRule="exact"/>
              <w:rPr>
                <w:rFonts w:hint="eastAsia" w:ascii="宋体" w:hAnsi="宋体" w:cs="宋体"/>
                <w:spacing w:val="-4"/>
                <w:kern w:val="0"/>
                <w:szCs w:val="21"/>
              </w:rPr>
            </w:pPr>
            <w:r>
              <w:rPr>
                <w:rFonts w:hint="eastAsia" w:ascii="宋体" w:hAnsi="宋体" w:cs="宋体"/>
                <w:kern w:val="0"/>
                <w:szCs w:val="21"/>
              </w:rPr>
              <w:t>地 址：</w:t>
            </w:r>
            <w:r>
              <w:rPr>
                <w:rFonts w:hint="eastAsia" w:ascii="宋体" w:hAnsi="宋体" w:eastAsia="宋体" w:cs="宋体"/>
                <w:snapToGrid w:val="0"/>
                <w:color w:val="auto"/>
                <w:sz w:val="21"/>
                <w:szCs w:val="21"/>
                <w:highlight w:val="none"/>
              </w:rPr>
              <w:t>金</w:t>
            </w:r>
            <w:r>
              <w:rPr>
                <w:rFonts w:hint="eastAsia" w:ascii="宋体" w:hAnsi="宋体" w:cs="宋体"/>
                <w:sz w:val="21"/>
                <w:szCs w:val="21"/>
              </w:rPr>
              <w:t>坛区金胜东路19号三楼开标室</w:t>
            </w:r>
          </w:p>
        </w:tc>
      </w:tr>
      <w:tr>
        <w:tblPrEx>
          <w:tblCellMar>
            <w:top w:w="0" w:type="dxa"/>
            <w:left w:w="108" w:type="dxa"/>
            <w:bottom w:w="0" w:type="dxa"/>
            <w:right w:w="108" w:type="dxa"/>
          </w:tblCellMar>
        </w:tblPrEx>
        <w:trPr>
          <w:trHeight w:val="292" w:hRule="atLeast"/>
          <w:jc w:val="center"/>
        </w:trPr>
        <w:tc>
          <w:tcPr>
            <w:tcW w:w="4527" w:type="dxa"/>
            <w:noWrap w:val="0"/>
            <w:vAlign w:val="top"/>
          </w:tcPr>
          <w:p>
            <w:pPr>
              <w:spacing w:line="420" w:lineRule="exact"/>
              <w:rPr>
                <w:rFonts w:hint="eastAsia" w:ascii="宋体" w:hAnsi="宋体" w:eastAsia="宋体" w:cs="宋体"/>
                <w:kern w:val="0"/>
                <w:szCs w:val="21"/>
                <w:lang w:eastAsia="zh-CN"/>
              </w:rPr>
            </w:pPr>
            <w:r>
              <w:rPr>
                <w:rFonts w:hint="eastAsia" w:ascii="宋体" w:hAnsi="宋体" w:cs="宋体"/>
                <w:kern w:val="0"/>
                <w:szCs w:val="21"/>
              </w:rPr>
              <w:t>联 系 人：</w:t>
            </w:r>
            <w:r>
              <w:rPr>
                <w:rFonts w:hint="eastAsia" w:ascii="宋体" w:hAnsi="宋体" w:cs="宋体"/>
                <w:kern w:val="0"/>
                <w:szCs w:val="21"/>
                <w:lang w:eastAsia="zh-CN"/>
              </w:rPr>
              <w:t>许先生</w:t>
            </w:r>
          </w:p>
        </w:tc>
        <w:tc>
          <w:tcPr>
            <w:tcW w:w="4198" w:type="dxa"/>
            <w:noWrap w:val="0"/>
            <w:vAlign w:val="top"/>
          </w:tcPr>
          <w:p>
            <w:pPr>
              <w:widowControl/>
              <w:spacing w:line="420" w:lineRule="exact"/>
              <w:rPr>
                <w:rFonts w:hint="eastAsia" w:ascii="宋体" w:hAnsi="宋体" w:cs="宋体"/>
                <w:kern w:val="0"/>
                <w:szCs w:val="21"/>
              </w:rPr>
            </w:pPr>
            <w:r>
              <w:rPr>
                <w:rFonts w:hint="eastAsia" w:ascii="宋体" w:hAnsi="宋体" w:cs="宋体"/>
                <w:kern w:val="0"/>
                <w:szCs w:val="21"/>
              </w:rPr>
              <w:t>联 系 人：</w:t>
            </w:r>
            <w:r>
              <w:rPr>
                <w:rFonts w:hint="eastAsia" w:ascii="宋体" w:hAnsi="宋体" w:cs="宋体"/>
                <w:kern w:val="0"/>
                <w:szCs w:val="21"/>
                <w:lang w:val="en-US" w:eastAsia="zh-CN"/>
              </w:rPr>
              <w:t>褚</w:t>
            </w:r>
            <w:r>
              <w:rPr>
                <w:rFonts w:hint="eastAsia" w:ascii="宋体" w:hAnsi="宋体" w:cs="宋体"/>
                <w:kern w:val="0"/>
                <w:szCs w:val="21"/>
              </w:rPr>
              <w:t>女士</w:t>
            </w:r>
          </w:p>
        </w:tc>
      </w:tr>
      <w:tr>
        <w:tblPrEx>
          <w:tblCellMar>
            <w:top w:w="0" w:type="dxa"/>
            <w:left w:w="108" w:type="dxa"/>
            <w:bottom w:w="0" w:type="dxa"/>
            <w:right w:w="108" w:type="dxa"/>
          </w:tblCellMar>
        </w:tblPrEx>
        <w:trPr>
          <w:trHeight w:val="292" w:hRule="atLeast"/>
          <w:jc w:val="center"/>
        </w:trPr>
        <w:tc>
          <w:tcPr>
            <w:tcW w:w="4527" w:type="dxa"/>
            <w:noWrap w:val="0"/>
            <w:vAlign w:val="top"/>
          </w:tcPr>
          <w:p>
            <w:pPr>
              <w:widowControl/>
              <w:spacing w:line="420" w:lineRule="exact"/>
              <w:ind w:left="420" w:right="21" w:hanging="420"/>
              <w:rPr>
                <w:rFonts w:hint="default" w:ascii="宋体" w:hAnsi="宋体" w:eastAsia="宋体" w:cs="宋体"/>
                <w:kern w:val="0"/>
                <w:szCs w:val="21"/>
                <w:lang w:val="en-US" w:eastAsia="zh-CN"/>
              </w:rPr>
            </w:pPr>
            <w:r>
              <w:rPr>
                <w:rFonts w:hint="eastAsia" w:ascii="宋体" w:hAnsi="宋体" w:cs="宋体"/>
                <w:kern w:val="0"/>
                <w:szCs w:val="21"/>
              </w:rPr>
              <w:t>电    话：</w:t>
            </w:r>
            <w:r>
              <w:rPr>
                <w:rFonts w:hint="eastAsia" w:ascii="宋体" w:hAnsi="宋体" w:cs="宋体"/>
                <w:kern w:val="0"/>
                <w:szCs w:val="21"/>
                <w:lang w:val="en-US" w:eastAsia="zh-CN"/>
              </w:rPr>
              <w:t>13921028922</w:t>
            </w:r>
          </w:p>
        </w:tc>
        <w:tc>
          <w:tcPr>
            <w:tcW w:w="4198" w:type="dxa"/>
            <w:noWrap w:val="0"/>
            <w:vAlign w:val="top"/>
          </w:tcPr>
          <w:p>
            <w:pPr>
              <w:widowControl/>
              <w:spacing w:line="420" w:lineRule="exact"/>
              <w:rPr>
                <w:rFonts w:ascii="宋体" w:hAnsi="宋体" w:cs="宋体"/>
                <w:kern w:val="0"/>
                <w:szCs w:val="21"/>
              </w:rPr>
            </w:pPr>
            <w:r>
              <w:rPr>
                <w:rFonts w:hint="eastAsia" w:ascii="宋体" w:hAnsi="宋体" w:cs="宋体"/>
                <w:kern w:val="0"/>
                <w:szCs w:val="21"/>
              </w:rPr>
              <w:t>电    话：</w:t>
            </w:r>
            <w:r>
              <w:rPr>
                <w:rFonts w:hint="eastAsia" w:ascii="宋体" w:hAnsi="宋体" w:eastAsia="宋体" w:cs="宋体"/>
                <w:sz w:val="21"/>
                <w:szCs w:val="21"/>
                <w:lang w:val="en-US" w:eastAsia="zh-CN"/>
              </w:rPr>
              <w:t>0519-82807908</w:t>
            </w:r>
          </w:p>
        </w:tc>
      </w:tr>
    </w:tbl>
    <w:p>
      <w:pPr>
        <w:pStyle w:val="3"/>
        <w:rPr>
          <w:rFonts w:hint="eastAsia"/>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tabs>
          <w:tab w:val="left" w:pos="720"/>
        </w:tabs>
        <w:spacing w:line="360" w:lineRule="auto"/>
        <w:rPr>
          <w:rFonts w:hint="eastAsia" w:ascii="宋体" w:hAnsi="宋体" w:cs="宋体"/>
          <w:sz w:val="24"/>
        </w:rPr>
      </w:pPr>
      <w:r>
        <w:rPr>
          <w:rFonts w:hint="eastAsia" w:ascii="宋体" w:hAnsi="宋体" w:cs="宋体"/>
          <w:sz w:val="24"/>
        </w:rPr>
        <w:t>附件1：</w:t>
      </w:r>
    </w:p>
    <w:p>
      <w:pPr>
        <w:snapToGrid w:val="0"/>
        <w:spacing w:before="312" w:beforeLines="100"/>
        <w:jc w:val="center"/>
        <w:rPr>
          <w:rFonts w:ascii="宋体" w:hAnsi="宋体" w:cs="宋体"/>
          <w:color w:val="auto"/>
          <w:sz w:val="48"/>
          <w:szCs w:val="48"/>
        </w:rPr>
      </w:pPr>
      <w:r>
        <w:rPr>
          <w:rFonts w:hint="eastAsia" w:ascii="宋体" w:hAnsi="宋体" w:cs="宋体"/>
          <w:b/>
          <w:bCs/>
          <w:color w:val="auto"/>
          <w:sz w:val="48"/>
          <w:szCs w:val="48"/>
        </w:rPr>
        <w:t>常州市建设工程投标报名申请书</w:t>
      </w:r>
    </w:p>
    <w:p>
      <w:pPr>
        <w:adjustRightInd w:val="0"/>
        <w:snapToGrid w:val="0"/>
        <w:spacing w:line="440" w:lineRule="exact"/>
        <w:ind w:left="86" w:leftChars="41" w:firstLine="280" w:firstLineChars="100"/>
        <w:rPr>
          <w:rFonts w:ascii="宋体" w:hAnsi="宋体" w:cs="宋体"/>
          <w:color w:val="auto"/>
          <w:sz w:val="28"/>
          <w:szCs w:val="28"/>
          <w:u w:val="single"/>
        </w:rPr>
      </w:pPr>
    </w:p>
    <w:p>
      <w:pPr>
        <w:adjustRightInd w:val="0"/>
        <w:snapToGrid w:val="0"/>
        <w:spacing w:line="440" w:lineRule="exact"/>
        <w:rPr>
          <w:rFonts w:ascii="宋体" w:hAnsi="宋体" w:cs="宋体"/>
          <w:color w:val="auto"/>
          <w:szCs w:val="21"/>
          <w:u w:val="single"/>
        </w:rPr>
      </w:pPr>
      <w:r>
        <w:rPr>
          <w:rFonts w:hint="eastAsia" w:ascii="宋体" w:hAnsi="宋体" w:cs="宋体"/>
          <w:color w:val="auto"/>
          <w:szCs w:val="21"/>
          <w:u w:val="single"/>
          <w:lang w:eastAsia="zh-CN"/>
        </w:rPr>
        <w:t>常州市金坛区华罗庚实验学校</w:t>
      </w:r>
      <w:r>
        <w:rPr>
          <w:rFonts w:hint="eastAsia" w:ascii="宋体" w:hAnsi="宋体" w:cs="宋体"/>
          <w:color w:val="auto"/>
          <w:szCs w:val="21"/>
        </w:rPr>
        <w:t>（招标人）：</w:t>
      </w:r>
    </w:p>
    <w:p>
      <w:pPr>
        <w:adjustRightInd w:val="0"/>
        <w:snapToGrid w:val="0"/>
        <w:spacing w:line="440" w:lineRule="exact"/>
        <w:ind w:firstLine="420" w:firstLineChars="200"/>
        <w:rPr>
          <w:rFonts w:ascii="宋体" w:hAnsi="宋体" w:cs="宋体"/>
          <w:color w:val="auto"/>
          <w:szCs w:val="21"/>
        </w:rPr>
      </w:pPr>
      <w:r>
        <w:rPr>
          <w:rFonts w:hint="eastAsia" w:ascii="宋体" w:hAnsi="宋体" w:cs="宋体"/>
          <w:color w:val="auto"/>
          <w:szCs w:val="21"/>
        </w:rPr>
        <w:t>根据贵单位</w:t>
      </w:r>
      <w:r>
        <w:rPr>
          <w:rFonts w:hint="eastAsia" w:ascii="宋体" w:hAnsi="宋体" w:cs="宋体"/>
          <w:color w:val="auto"/>
          <w:szCs w:val="21"/>
          <w:u w:val="single"/>
        </w:rPr>
        <w:t xml:space="preserve">       （项目名称）</w:t>
      </w:r>
      <w:r>
        <w:rPr>
          <w:rFonts w:hint="eastAsia" w:ascii="宋体" w:hAnsi="宋体" w:cs="宋体"/>
          <w:color w:val="auto"/>
          <w:szCs w:val="21"/>
        </w:rPr>
        <w:t>的招标公告，我单位拟参与</w:t>
      </w:r>
      <w:r>
        <w:rPr>
          <w:rFonts w:hint="eastAsia" w:ascii="宋体" w:hAnsi="宋体" w:cs="宋体"/>
          <w:color w:val="auto"/>
          <w:szCs w:val="21"/>
          <w:u w:val="single"/>
        </w:rPr>
        <w:t xml:space="preserve">       （项目名称）</w:t>
      </w:r>
      <w:r>
        <w:rPr>
          <w:rFonts w:hint="eastAsia" w:ascii="宋体" w:hAnsi="宋体" w:cs="宋体"/>
          <w:color w:val="auto"/>
          <w:szCs w:val="21"/>
        </w:rPr>
        <w:t>的投标报名，且拟派</w:t>
      </w:r>
      <w:r>
        <w:rPr>
          <w:rFonts w:hint="eastAsia" w:ascii="宋体" w:hAnsi="宋体" w:cs="宋体"/>
          <w:color w:val="auto"/>
          <w:szCs w:val="21"/>
          <w:u w:val="single"/>
        </w:rPr>
        <w:t xml:space="preserve">         </w:t>
      </w:r>
      <w:r>
        <w:rPr>
          <w:rFonts w:hint="eastAsia" w:ascii="宋体" w:hAnsi="宋体" w:cs="宋体"/>
          <w:color w:val="auto"/>
          <w:szCs w:val="21"/>
        </w:rPr>
        <w:t>建造师为该招标工程的项目经理，特此申请。</w:t>
      </w:r>
    </w:p>
    <w:p>
      <w:pPr>
        <w:snapToGrid w:val="0"/>
        <w:spacing w:line="440" w:lineRule="exact"/>
        <w:ind w:firstLine="645"/>
        <w:rPr>
          <w:rFonts w:ascii="宋体" w:hAnsi="宋体" w:cs="宋体"/>
          <w:color w:val="auto"/>
          <w:szCs w:val="21"/>
        </w:rPr>
      </w:pPr>
      <w:r>
        <w:rPr>
          <w:rFonts w:hint="eastAsia" w:ascii="宋体" w:hAnsi="宋体" w:cs="宋体"/>
          <w:color w:val="auto"/>
          <w:szCs w:val="21"/>
        </w:rPr>
        <w:t>我单位基本情况：</w:t>
      </w:r>
    </w:p>
    <w:p>
      <w:pPr>
        <w:snapToGrid w:val="0"/>
        <w:spacing w:line="440" w:lineRule="exact"/>
        <w:rPr>
          <w:rFonts w:ascii="宋体" w:hAnsi="宋体" w:cs="宋体"/>
          <w:color w:val="auto"/>
          <w:szCs w:val="21"/>
        </w:rPr>
      </w:pPr>
      <w:r>
        <w:rPr>
          <w:rFonts w:hint="eastAsia" w:ascii="宋体" w:hAnsi="宋体" w:cs="宋体"/>
          <w:color w:val="auto"/>
          <w:szCs w:val="21"/>
        </w:rPr>
        <w:t>1、资质类别和等级：</w:t>
      </w:r>
    </w:p>
    <w:p>
      <w:pPr>
        <w:snapToGrid w:val="0"/>
        <w:spacing w:line="440" w:lineRule="exact"/>
        <w:ind w:firstLine="840" w:firstLineChars="400"/>
        <w:rPr>
          <w:rFonts w:ascii="宋体" w:hAnsi="宋体" w:cs="宋体"/>
          <w:color w:val="auto"/>
          <w:szCs w:val="21"/>
        </w:rPr>
      </w:pPr>
    </w:p>
    <w:p>
      <w:pPr>
        <w:snapToGrid w:val="0"/>
        <w:spacing w:line="440" w:lineRule="exact"/>
        <w:rPr>
          <w:rFonts w:ascii="宋体" w:hAnsi="宋体" w:cs="宋体"/>
          <w:color w:val="auto"/>
          <w:szCs w:val="21"/>
        </w:rPr>
      </w:pPr>
      <w:r>
        <w:rPr>
          <w:rFonts w:hint="eastAsia" w:ascii="宋体" w:hAnsi="宋体" w:cs="宋体"/>
          <w:color w:val="auto"/>
          <w:szCs w:val="21"/>
        </w:rPr>
        <w:t>2、企业业绩、信誉：</w:t>
      </w:r>
    </w:p>
    <w:p>
      <w:pPr>
        <w:snapToGrid w:val="0"/>
        <w:spacing w:line="440" w:lineRule="exact"/>
        <w:rPr>
          <w:rFonts w:ascii="宋体" w:hAnsi="宋体" w:cs="宋体"/>
          <w:color w:val="auto"/>
          <w:szCs w:val="21"/>
        </w:rPr>
      </w:pPr>
    </w:p>
    <w:p>
      <w:pPr>
        <w:snapToGrid w:val="0"/>
        <w:spacing w:line="440" w:lineRule="exact"/>
        <w:rPr>
          <w:rFonts w:ascii="宋体" w:hAnsi="宋体" w:cs="宋体"/>
          <w:color w:val="auto"/>
          <w:szCs w:val="21"/>
        </w:rPr>
      </w:pPr>
      <w:r>
        <w:rPr>
          <w:rFonts w:hint="eastAsia" w:ascii="宋体" w:hAnsi="宋体" w:cs="宋体"/>
          <w:color w:val="auto"/>
          <w:szCs w:val="21"/>
        </w:rPr>
        <w:t>3、其他说明：</w:t>
      </w: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（3）如果我单位中标，将按有关规定和招标人的要求在规定的时间内办理好工程开工的相关手续。</w:t>
      </w:r>
    </w:p>
    <w:p>
      <w:pPr>
        <w:snapToGrid w:val="0"/>
        <w:spacing w:line="440" w:lineRule="exact"/>
        <w:rPr>
          <w:rFonts w:ascii="宋体" w:hAnsi="宋体" w:cs="宋体"/>
          <w:color w:val="auto"/>
          <w:szCs w:val="21"/>
        </w:rPr>
      </w:pP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 xml:space="preserve"> 地址：                   邮编：</w:t>
      </w:r>
    </w:p>
    <w:p>
      <w:pPr>
        <w:snapToGrid w:val="0"/>
        <w:spacing w:line="440" w:lineRule="exact"/>
        <w:ind w:firstLine="420" w:firstLineChars="200"/>
        <w:rPr>
          <w:rFonts w:ascii="宋体" w:hAnsi="宋体" w:cs="宋体"/>
          <w:color w:val="auto"/>
          <w:szCs w:val="21"/>
        </w:rPr>
      </w:pPr>
      <w:r>
        <w:rPr>
          <w:rFonts w:hint="eastAsia" w:ascii="宋体" w:hAnsi="宋体" w:cs="宋体"/>
          <w:color w:val="auto"/>
          <w:szCs w:val="21"/>
        </w:rPr>
        <w:t>联系人：                 电话：</w:t>
      </w:r>
    </w:p>
    <w:p>
      <w:pPr>
        <w:snapToGrid w:val="0"/>
        <w:spacing w:line="440" w:lineRule="exact"/>
        <w:ind w:firstLine="420" w:firstLineChars="200"/>
        <w:outlineLvl w:val="9"/>
        <w:rPr>
          <w:rFonts w:ascii="宋体" w:hAnsi="宋体" w:cs="宋体"/>
          <w:color w:val="auto"/>
          <w:szCs w:val="21"/>
        </w:rPr>
      </w:pPr>
      <w:r>
        <w:rPr>
          <w:rFonts w:hint="eastAsia" w:ascii="宋体" w:hAnsi="宋体" w:cs="宋体"/>
          <w:color w:val="auto"/>
          <w:szCs w:val="21"/>
        </w:rPr>
        <w:t>E-mail:</w:t>
      </w:r>
    </w:p>
    <w:p>
      <w:pPr>
        <w:snapToGrid w:val="0"/>
        <w:spacing w:line="440" w:lineRule="exact"/>
        <w:rPr>
          <w:rFonts w:ascii="宋体" w:hAnsi="宋体" w:cs="宋体"/>
          <w:color w:val="auto"/>
          <w:szCs w:val="21"/>
        </w:rPr>
      </w:pP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申请单位名称（公章）</w:t>
      </w:r>
    </w:p>
    <w:p>
      <w:pPr>
        <w:snapToGrid w:val="0"/>
        <w:spacing w:line="440" w:lineRule="exact"/>
        <w:ind w:firstLine="3103" w:firstLineChars="1478"/>
        <w:rPr>
          <w:rFonts w:ascii="宋体" w:hAnsi="宋体" w:cs="宋体"/>
          <w:color w:val="auto"/>
          <w:szCs w:val="21"/>
        </w:rPr>
      </w:pP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企业法定代表人（签章）</w:t>
      </w:r>
    </w:p>
    <w:p>
      <w:pPr>
        <w:snapToGrid w:val="0"/>
        <w:spacing w:line="440" w:lineRule="exact"/>
        <w:ind w:firstLine="3103" w:firstLineChars="1478"/>
        <w:rPr>
          <w:rFonts w:ascii="宋体" w:hAnsi="宋体" w:cs="宋体"/>
          <w:color w:val="auto"/>
          <w:szCs w:val="21"/>
        </w:rPr>
      </w:pP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年   月   日</w:t>
      </w:r>
    </w:p>
    <w:p>
      <w:pPr>
        <w:widowControl/>
        <w:jc w:val="left"/>
        <w:rPr>
          <w:rFonts w:ascii="宋体" w:hAnsi="宋体" w:cs="宋体"/>
          <w:color w:val="auto"/>
          <w:sz w:val="24"/>
        </w:rPr>
      </w:pPr>
      <w:r>
        <w:rPr>
          <w:rFonts w:ascii="宋体" w:hAnsi="宋体" w:cs="宋体"/>
          <w:color w:val="auto"/>
          <w:sz w:val="24"/>
        </w:rPr>
        <w:br w:type="page"/>
      </w:r>
    </w:p>
    <w:p>
      <w:pPr>
        <w:tabs>
          <w:tab w:val="left" w:pos="720"/>
        </w:tabs>
        <w:spacing w:line="360" w:lineRule="auto"/>
        <w:rPr>
          <w:rFonts w:hint="eastAsia" w:ascii="宋体" w:hAnsi="宋体" w:cs="宋体"/>
          <w:sz w:val="24"/>
        </w:rPr>
      </w:pPr>
      <w:r>
        <w:rPr>
          <w:rFonts w:hint="eastAsia" w:ascii="宋体" w:hAnsi="宋体" w:cs="宋体"/>
          <w:sz w:val="24"/>
        </w:rPr>
        <w:t>附件2：</w:t>
      </w:r>
    </w:p>
    <w:p>
      <w:pPr>
        <w:tabs>
          <w:tab w:val="left" w:pos="720"/>
        </w:tabs>
        <w:spacing w:line="360" w:lineRule="auto"/>
        <w:jc w:val="center"/>
        <w:rPr>
          <w:rFonts w:hint="eastAsia" w:ascii="宋体" w:hAnsi="宋体" w:cs="宋体"/>
          <w:b/>
          <w:spacing w:val="-12"/>
          <w:kern w:val="0"/>
          <w:sz w:val="28"/>
          <w:szCs w:val="28"/>
        </w:rPr>
      </w:pPr>
      <w:r>
        <w:rPr>
          <w:rFonts w:hint="eastAsia" w:ascii="宋体" w:hAnsi="宋体" w:cs="宋体"/>
          <w:b/>
          <w:spacing w:val="-12"/>
          <w:kern w:val="0"/>
          <w:sz w:val="28"/>
          <w:szCs w:val="28"/>
        </w:rPr>
        <w:t>评分办法</w:t>
      </w:r>
    </w:p>
    <w:p>
      <w:pPr>
        <w:spacing w:line="360" w:lineRule="auto"/>
        <w:rPr>
          <w:rFonts w:ascii="宋体" w:hAnsi="宋体"/>
          <w:color w:val="auto"/>
          <w:szCs w:val="21"/>
        </w:rPr>
      </w:pPr>
      <w:r>
        <w:rPr>
          <w:rFonts w:hint="eastAsia" w:ascii="宋体" w:hAnsi="宋体"/>
          <w:b/>
          <w:color w:val="auto"/>
          <w:szCs w:val="21"/>
        </w:rPr>
        <w:t>一、技术标</w:t>
      </w:r>
      <w:r>
        <w:rPr>
          <w:rFonts w:hint="eastAsia" w:ascii="宋体" w:hAnsi="宋体"/>
          <w:color w:val="auto"/>
          <w:szCs w:val="21"/>
        </w:rPr>
        <w:t>:（不需要）</w:t>
      </w:r>
    </w:p>
    <w:p>
      <w:pPr>
        <w:spacing w:line="360" w:lineRule="auto"/>
        <w:rPr>
          <w:rFonts w:ascii="宋体"/>
          <w:b/>
          <w:color w:val="auto"/>
          <w:szCs w:val="21"/>
        </w:rPr>
      </w:pPr>
      <w:r>
        <w:rPr>
          <w:rFonts w:hint="eastAsia" w:ascii="宋体"/>
          <w:b/>
          <w:bCs/>
          <w:color w:val="auto"/>
          <w:szCs w:val="21"/>
        </w:rPr>
        <w:t>二、商务标评审：</w:t>
      </w:r>
    </w:p>
    <w:p>
      <w:pPr>
        <w:autoSpaceDE w:val="0"/>
        <w:autoSpaceDN w:val="0"/>
        <w:adjustRightInd w:val="0"/>
        <w:spacing w:line="360" w:lineRule="auto"/>
        <w:ind w:firstLine="420" w:firstLineChars="200"/>
        <w:rPr>
          <w:rFonts w:ascii="宋体"/>
          <w:color w:val="auto"/>
          <w:szCs w:val="21"/>
        </w:rPr>
      </w:pPr>
      <w:r>
        <w:rPr>
          <w:rFonts w:ascii="宋体"/>
          <w:color w:val="auto"/>
          <w:szCs w:val="21"/>
        </w:rPr>
        <w:t xml:space="preserve">1. 符合性审查，确定有效投标报价。 </w:t>
      </w:r>
    </w:p>
    <w:p>
      <w:pPr>
        <w:autoSpaceDE w:val="0"/>
        <w:autoSpaceDN w:val="0"/>
        <w:adjustRightInd w:val="0"/>
        <w:spacing w:line="360" w:lineRule="auto"/>
        <w:ind w:firstLine="420" w:firstLineChars="200"/>
        <w:rPr>
          <w:rFonts w:ascii="宋体"/>
          <w:color w:val="auto"/>
          <w:szCs w:val="21"/>
        </w:rPr>
      </w:pPr>
      <w:r>
        <w:rPr>
          <w:rFonts w:ascii="宋体"/>
          <w:color w:val="auto"/>
          <w:szCs w:val="21"/>
        </w:rPr>
        <w:t>2. 凡符合招标文件、招标答疑纪要等有关招标要求，并且在招标控制</w:t>
      </w:r>
      <w:r>
        <w:rPr>
          <w:rFonts w:hint="eastAsia" w:ascii="宋体"/>
          <w:color w:val="auto"/>
          <w:szCs w:val="21"/>
        </w:rPr>
        <w:t>总</w:t>
      </w:r>
      <w:r>
        <w:rPr>
          <w:rFonts w:ascii="宋体"/>
          <w:color w:val="auto"/>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color w:val="auto"/>
          <w:szCs w:val="21"/>
        </w:rPr>
      </w:pPr>
      <w:r>
        <w:rPr>
          <w:rFonts w:hint="eastAsia" w:ascii="宋体"/>
          <w:b/>
          <w:color w:val="auto"/>
          <w:szCs w:val="21"/>
        </w:rPr>
        <w:t>3. 投标报价总价得分（100分）：</w:t>
      </w:r>
    </w:p>
    <w:p>
      <w:pPr>
        <w:spacing w:line="360" w:lineRule="auto"/>
        <w:rPr>
          <w:rFonts w:hint="eastAsia" w:ascii="宋体"/>
          <w:b/>
          <w:bCs/>
          <w:color w:val="auto"/>
          <w:szCs w:val="21"/>
        </w:rPr>
      </w:pPr>
      <w:r>
        <w:rPr>
          <w:rFonts w:hint="eastAsia" w:ascii="宋体"/>
          <w:b/>
          <w:bCs/>
          <w:color w:val="auto"/>
          <w:szCs w:val="21"/>
          <w:lang w:eastAsia="zh-CN"/>
        </w:rPr>
        <w:t>（</w:t>
      </w:r>
      <w:r>
        <w:rPr>
          <w:rFonts w:hint="eastAsia" w:ascii="宋体"/>
          <w:b/>
          <w:bCs/>
          <w:color w:val="auto"/>
          <w:szCs w:val="21"/>
          <w:lang w:val="en-US" w:eastAsia="zh-CN"/>
        </w:rPr>
        <w:t>1</w:t>
      </w:r>
      <w:r>
        <w:rPr>
          <w:rFonts w:hint="eastAsia" w:ascii="宋体"/>
          <w:b/>
          <w:bCs/>
          <w:color w:val="auto"/>
          <w:szCs w:val="21"/>
          <w:lang w:eastAsia="zh-CN"/>
        </w:rPr>
        <w:t>）</w:t>
      </w:r>
      <w:r>
        <w:rPr>
          <w:rFonts w:hint="eastAsia" w:ascii="宋体"/>
          <w:b/>
          <w:bCs/>
          <w:color w:val="auto"/>
          <w:szCs w:val="21"/>
        </w:rPr>
        <w:t>单因素评标法一：</w:t>
      </w:r>
    </w:p>
    <w:p>
      <w:pPr>
        <w:spacing w:line="360" w:lineRule="auto"/>
        <w:ind w:firstLine="420" w:firstLineChars="200"/>
        <w:rPr>
          <w:rFonts w:hint="eastAsia" w:ascii="宋体"/>
          <w:b/>
          <w:color w:val="auto"/>
          <w:szCs w:val="21"/>
        </w:rPr>
      </w:pPr>
      <w:r>
        <w:rPr>
          <w:rFonts w:hint="eastAsia" w:ascii="宋体"/>
          <w:color w:val="auto"/>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b/>
          <w:color w:val="auto"/>
          <w:szCs w:val="21"/>
        </w:rPr>
        <w:t>95%、96%、97%、98%</w:t>
      </w:r>
      <w:r>
        <w:rPr>
          <w:rFonts w:hint="eastAsia" w:ascii="宋体"/>
          <w:color w:val="auto"/>
          <w:szCs w:val="21"/>
        </w:rPr>
        <w:t>。等于评标基准价得最高分（100分），并以此为基准确定其他承包人的价格得分：投标价格高于该基准价的，每高1%扣 0.9分；投标价格低于该基准价的，每低1%扣0.6分。</w:t>
      </w:r>
      <w:r>
        <w:rPr>
          <w:rFonts w:hint="eastAsia" w:ascii="宋体"/>
          <w:b/>
          <w:color w:val="auto"/>
          <w:szCs w:val="21"/>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b/>
          <w:bCs/>
          <w:color w:val="000000"/>
          <w:sz w:val="21"/>
          <w:szCs w:val="21"/>
        </w:rPr>
      </w:pPr>
      <w:r>
        <w:rPr>
          <w:rFonts w:hint="eastAsia" w:ascii="宋体"/>
          <w:b/>
          <w:bCs/>
          <w:color w:val="000000"/>
          <w:sz w:val="21"/>
          <w:szCs w:val="21"/>
          <w:lang w:eastAsia="zh-CN"/>
        </w:rPr>
        <w:t>（</w:t>
      </w:r>
      <w:r>
        <w:rPr>
          <w:rFonts w:hint="eastAsia" w:ascii="宋体"/>
          <w:b/>
          <w:bCs/>
          <w:color w:val="000000"/>
          <w:sz w:val="21"/>
          <w:szCs w:val="21"/>
          <w:lang w:val="en-US" w:eastAsia="zh-CN"/>
        </w:rPr>
        <w:t>2</w:t>
      </w:r>
      <w:r>
        <w:rPr>
          <w:rFonts w:hint="eastAsia" w:ascii="宋体"/>
          <w:b/>
          <w:bCs/>
          <w:color w:val="000000"/>
          <w:sz w:val="21"/>
          <w:szCs w:val="21"/>
          <w:lang w:eastAsia="zh-CN"/>
        </w:rPr>
        <w:t>）</w:t>
      </w:r>
      <w:r>
        <w:rPr>
          <w:rFonts w:hint="eastAsia" w:ascii="宋体"/>
          <w:b/>
          <w:bCs/>
          <w:color w:val="000000"/>
          <w:sz w:val="21"/>
          <w:szCs w:val="21"/>
        </w:rPr>
        <w:t>单因素评标法</w:t>
      </w:r>
      <w:r>
        <w:rPr>
          <w:rFonts w:hint="eastAsia" w:ascii="宋体"/>
          <w:b/>
          <w:bCs/>
          <w:color w:val="000000"/>
          <w:sz w:val="21"/>
          <w:szCs w:val="21"/>
          <w:lang w:eastAsia="zh-CN"/>
        </w:rPr>
        <w:t>二</w:t>
      </w:r>
      <w:r>
        <w:rPr>
          <w:rFonts w:hint="eastAsia" w:ascii="宋体"/>
          <w:b/>
          <w:bCs/>
          <w:color w:val="000000"/>
          <w:sz w:val="21"/>
          <w:szCs w:val="21"/>
        </w:rPr>
        <w:t>：</w:t>
      </w:r>
    </w:p>
    <w:p>
      <w:pPr>
        <w:keepNext w:val="0"/>
        <w:keepLines w:val="0"/>
        <w:pageBreakBefore w:val="0"/>
        <w:widowControl/>
        <w:kinsoku/>
        <w:wordWrap/>
        <w:overflowPunct/>
        <w:topLinePunct w:val="0"/>
        <w:autoSpaceDE/>
        <w:autoSpaceDN/>
        <w:bidi w:val="0"/>
        <w:spacing w:line="400" w:lineRule="exact"/>
        <w:ind w:firstLine="480"/>
        <w:textAlignment w:val="auto"/>
        <w:rPr>
          <w:rFonts w:ascii="宋体"/>
          <w:b/>
          <w:bCs/>
          <w:color w:val="000000"/>
          <w:sz w:val="21"/>
          <w:szCs w:val="21"/>
        </w:rPr>
      </w:pPr>
      <w:r>
        <w:rPr>
          <w:rFonts w:hint="eastAsia" w:ascii="宋体"/>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color w:val="000000"/>
          <w:sz w:val="21"/>
          <w:szCs w:val="21"/>
          <w:lang w:eastAsia="zh-CN"/>
        </w:rPr>
        <w:t>，招标控制价为</w:t>
      </w:r>
      <w:r>
        <w:rPr>
          <w:rFonts w:hint="eastAsia" w:ascii="宋体"/>
          <w:color w:val="000000"/>
          <w:sz w:val="21"/>
          <w:szCs w:val="21"/>
          <w:lang w:val="en-US" w:eastAsia="zh-CN"/>
        </w:rPr>
        <w:t>B,则：</w:t>
      </w:r>
      <w:r>
        <w:rPr>
          <w:rFonts w:hint="eastAsia" w:ascii="宋体"/>
          <w:color w:val="000000"/>
          <w:sz w:val="21"/>
          <w:szCs w:val="21"/>
        </w:rPr>
        <w:t>评标基准价=A×K</w:t>
      </w:r>
      <w:r>
        <w:rPr>
          <w:rFonts w:hint="eastAsia" w:ascii="宋体"/>
          <w:color w:val="000000"/>
          <w:sz w:val="21"/>
          <w:szCs w:val="21"/>
          <w:lang w:val="en-US" w:eastAsia="zh-CN"/>
        </w:rPr>
        <w:t>1</w:t>
      </w:r>
      <w:r>
        <w:rPr>
          <w:rFonts w:hint="eastAsia" w:ascii="宋体"/>
          <w:color w:val="000000"/>
          <w:sz w:val="21"/>
          <w:szCs w:val="21"/>
        </w:rPr>
        <w:t>×</w:t>
      </w:r>
      <w:r>
        <w:rPr>
          <w:rFonts w:hint="eastAsia" w:ascii="宋体"/>
          <w:color w:val="000000"/>
          <w:sz w:val="21"/>
          <w:szCs w:val="21"/>
          <w:lang w:val="en-US" w:eastAsia="zh-CN"/>
        </w:rPr>
        <w:t>Q1+B</w:t>
      </w:r>
      <w:r>
        <w:rPr>
          <w:rFonts w:hint="eastAsia" w:ascii="宋体"/>
          <w:color w:val="000000"/>
          <w:sz w:val="21"/>
          <w:szCs w:val="21"/>
        </w:rPr>
        <w:t>×</w:t>
      </w:r>
      <w:r>
        <w:rPr>
          <w:rFonts w:hint="eastAsia" w:ascii="宋体"/>
          <w:color w:val="000000"/>
          <w:sz w:val="21"/>
          <w:szCs w:val="21"/>
          <w:lang w:val="en-US" w:eastAsia="zh-CN"/>
        </w:rPr>
        <w:t>K2</w:t>
      </w:r>
      <w:r>
        <w:rPr>
          <w:rFonts w:hint="eastAsia" w:ascii="宋体"/>
          <w:color w:val="000000"/>
          <w:sz w:val="21"/>
          <w:szCs w:val="21"/>
        </w:rPr>
        <w:t>×</w:t>
      </w:r>
      <w:r>
        <w:rPr>
          <w:rFonts w:hint="eastAsia" w:ascii="宋体"/>
          <w:color w:val="000000"/>
          <w:sz w:val="21"/>
          <w:szCs w:val="21"/>
          <w:lang w:val="en-US" w:eastAsia="zh-CN"/>
        </w:rPr>
        <w:t>Q2</w:t>
      </w:r>
      <w:r>
        <w:rPr>
          <w:rFonts w:hint="eastAsia" w:ascii="宋体"/>
          <w:color w:val="000000"/>
          <w:sz w:val="21"/>
          <w:szCs w:val="21"/>
        </w:rPr>
        <w:t>，</w:t>
      </w:r>
      <w:r>
        <w:rPr>
          <w:rFonts w:hint="eastAsia" w:ascii="宋体"/>
          <w:color w:val="000000"/>
          <w:sz w:val="21"/>
          <w:szCs w:val="21"/>
          <w:lang w:val="en-US" w:eastAsia="zh-CN"/>
        </w:rPr>
        <w:t>Q2=1-Q1,（Q1取值范围为</w:t>
      </w:r>
      <w:r>
        <w:rPr>
          <w:rFonts w:hint="eastAsia" w:ascii="宋体"/>
          <w:b/>
          <w:bCs/>
          <w:color w:val="000000"/>
          <w:sz w:val="21"/>
          <w:szCs w:val="21"/>
          <w:lang w:val="en-US" w:eastAsia="zh-CN"/>
        </w:rPr>
        <w:t>65%、70%、75%、80%、85%</w:t>
      </w:r>
      <w:r>
        <w:rPr>
          <w:rFonts w:hint="eastAsia" w:ascii="宋体"/>
          <w:color w:val="000000"/>
          <w:sz w:val="21"/>
          <w:szCs w:val="21"/>
          <w:lang w:val="en-US" w:eastAsia="zh-CN"/>
        </w:rPr>
        <w:t>；K1的取值范围为</w:t>
      </w:r>
      <w:r>
        <w:rPr>
          <w:rFonts w:hint="eastAsia" w:ascii="宋体"/>
          <w:b/>
          <w:bCs/>
          <w:color w:val="000000"/>
          <w:sz w:val="21"/>
          <w:szCs w:val="21"/>
          <w:lang w:val="en-US" w:eastAsia="zh-CN"/>
        </w:rPr>
        <w:t>95%、96%、97%、98%</w:t>
      </w:r>
      <w:r>
        <w:rPr>
          <w:rFonts w:hint="eastAsia" w:ascii="宋体"/>
          <w:color w:val="000000"/>
          <w:sz w:val="21"/>
          <w:szCs w:val="21"/>
          <w:lang w:val="en-US" w:eastAsia="zh-CN"/>
        </w:rPr>
        <w:t>；Q1、</w:t>
      </w:r>
      <w:r>
        <w:rPr>
          <w:rFonts w:hint="eastAsia" w:ascii="宋体"/>
          <w:color w:val="000000"/>
          <w:sz w:val="21"/>
          <w:szCs w:val="21"/>
        </w:rPr>
        <w:t>K</w:t>
      </w:r>
      <w:r>
        <w:rPr>
          <w:rFonts w:hint="eastAsia" w:ascii="宋体"/>
          <w:color w:val="000000"/>
          <w:sz w:val="21"/>
          <w:szCs w:val="21"/>
          <w:lang w:val="en-US" w:eastAsia="zh-CN"/>
        </w:rPr>
        <w:t>1</w:t>
      </w:r>
      <w:r>
        <w:rPr>
          <w:rFonts w:hint="eastAsia" w:ascii="宋体"/>
          <w:color w:val="000000"/>
          <w:sz w:val="21"/>
          <w:szCs w:val="21"/>
        </w:rPr>
        <w:t xml:space="preserve"> 值在清标后由投标人推选的代表随机抽取确定</w:t>
      </w:r>
      <w:r>
        <w:rPr>
          <w:rFonts w:hint="eastAsia" w:ascii="宋体"/>
          <w:color w:val="000000"/>
          <w:sz w:val="21"/>
          <w:szCs w:val="21"/>
          <w:highlight w:val="none"/>
        </w:rPr>
        <w:t>。</w:t>
      </w:r>
      <w:r>
        <w:rPr>
          <w:rFonts w:hint="eastAsia" w:ascii="宋体"/>
          <w:color w:val="000000"/>
          <w:sz w:val="21"/>
          <w:szCs w:val="21"/>
          <w:highlight w:val="none"/>
          <w:lang w:val="en-US" w:eastAsia="zh-CN"/>
        </w:rPr>
        <w:t>K2的取值范围为</w:t>
      </w:r>
      <w:r>
        <w:rPr>
          <w:rFonts w:hint="eastAsia" w:ascii="宋体"/>
          <w:b/>
          <w:bCs/>
          <w:color w:val="000000"/>
          <w:sz w:val="21"/>
          <w:szCs w:val="21"/>
          <w:highlight w:val="none"/>
          <w:lang w:val="en-US" w:eastAsia="zh-CN"/>
        </w:rPr>
        <w:t>100%</w:t>
      </w:r>
      <w:r>
        <w:rPr>
          <w:rFonts w:hint="eastAsia" w:ascii="宋体"/>
          <w:color w:val="000000"/>
          <w:sz w:val="21"/>
          <w:szCs w:val="21"/>
          <w:highlight w:val="none"/>
          <w:lang w:val="en-US" w:eastAsia="zh-CN"/>
        </w:rPr>
        <w:t>。</w:t>
      </w:r>
      <w:r>
        <w:rPr>
          <w:rFonts w:hint="eastAsia" w:ascii="宋体"/>
          <w:color w:val="000000"/>
          <w:sz w:val="21"/>
          <w:szCs w:val="21"/>
          <w:highlight w:val="none"/>
        </w:rPr>
        <w:t>等</w:t>
      </w:r>
      <w:r>
        <w:rPr>
          <w:rFonts w:hint="eastAsia" w:ascii="宋体"/>
          <w:color w:val="000000"/>
          <w:sz w:val="21"/>
          <w:szCs w:val="21"/>
        </w:rPr>
        <w:t>于评标基准价得最高分（</w:t>
      </w:r>
      <w:r>
        <w:rPr>
          <w:rFonts w:hint="eastAsia" w:ascii="宋体"/>
          <w:color w:val="000000"/>
          <w:sz w:val="21"/>
          <w:szCs w:val="21"/>
          <w:lang w:val="en-US" w:eastAsia="zh-CN"/>
        </w:rPr>
        <w:t>100</w:t>
      </w:r>
      <w:r>
        <w:rPr>
          <w:rFonts w:hint="eastAsia" w:ascii="宋体"/>
          <w:color w:val="000000"/>
          <w:sz w:val="21"/>
          <w:szCs w:val="21"/>
        </w:rPr>
        <w:t>分）</w:t>
      </w:r>
      <w:r>
        <w:rPr>
          <w:rFonts w:hint="eastAsia" w:ascii="宋体"/>
          <w:color w:val="000000"/>
          <w:sz w:val="21"/>
          <w:szCs w:val="21"/>
          <w:lang w:val="en-US" w:eastAsia="zh-CN"/>
        </w:rPr>
        <w:t>）</w:t>
      </w:r>
      <w:r>
        <w:rPr>
          <w:rFonts w:hint="eastAsia" w:ascii="宋体"/>
          <w:color w:val="000000"/>
          <w:sz w:val="21"/>
          <w:szCs w:val="21"/>
        </w:rPr>
        <w:t>，并以此为基准确定其他投标人的价格得分：投标价格高于该基准价的，每高1%扣0.9 分；投标价格低于该基准价的，每低1%扣0.6 分。</w:t>
      </w:r>
      <w:r>
        <w:rPr>
          <w:rFonts w:hint="eastAsia" w:ascii="宋体"/>
          <w:b/>
          <w:bCs/>
          <w:color w:val="000000"/>
          <w:sz w:val="21"/>
          <w:szCs w:val="21"/>
        </w:rPr>
        <w:t>[中间用插入法，计算过程及结果保留至小数点后第二位（小数点后第三位四舍五入）]。</w:t>
      </w:r>
    </w:p>
    <w:p>
      <w:pPr>
        <w:spacing w:line="360" w:lineRule="auto"/>
        <w:rPr>
          <w:rFonts w:hint="eastAsia" w:ascii="宋体" w:hAnsiTheme="minorHAnsi" w:eastAsiaTheme="minorEastAsia" w:cstheme="minorBidi"/>
          <w:b/>
          <w:bCs/>
          <w:snapToGrid/>
          <w:color w:val="000000"/>
          <w:kern w:val="2"/>
          <w:sz w:val="21"/>
          <w:szCs w:val="21"/>
          <w:lang w:val="en-US" w:eastAsia="zh-CN" w:bidi="ar-SA"/>
        </w:rPr>
      </w:pPr>
      <w:r>
        <w:rPr>
          <w:rFonts w:hint="eastAsia" w:ascii="宋体" w:hAnsiTheme="minorHAnsi" w:eastAsiaTheme="minorEastAsia" w:cstheme="minorBidi"/>
          <w:b/>
          <w:bCs/>
          <w:snapToGrid/>
          <w:color w:val="000000"/>
          <w:kern w:val="2"/>
          <w:sz w:val="21"/>
          <w:szCs w:val="21"/>
          <w:lang w:val="en-US" w:eastAsia="zh-CN" w:bidi="ar-SA"/>
        </w:rPr>
        <w:t>以上两种评标办法的选择由招标人在清标后随机抽取。</w:t>
      </w:r>
    </w:p>
    <w:p>
      <w:pPr>
        <w:spacing w:line="360" w:lineRule="auto"/>
        <w:rPr>
          <w:rFonts w:ascii="宋体"/>
          <w:b/>
          <w:bCs/>
          <w:color w:val="auto"/>
          <w:szCs w:val="21"/>
        </w:rPr>
      </w:pPr>
      <w:r>
        <w:rPr>
          <w:rFonts w:hint="eastAsia" w:ascii="宋体"/>
          <w:b/>
          <w:bCs/>
          <w:color w:val="auto"/>
          <w:szCs w:val="21"/>
        </w:rPr>
        <w:t>三、</w:t>
      </w:r>
      <w:r>
        <w:rPr>
          <w:rFonts w:ascii="宋体"/>
          <w:b/>
          <w:bCs/>
          <w:color w:val="auto"/>
          <w:szCs w:val="21"/>
        </w:rPr>
        <w:t xml:space="preserve">定标 </w:t>
      </w:r>
    </w:p>
    <w:p>
      <w:pPr>
        <w:autoSpaceDE w:val="0"/>
        <w:autoSpaceDN w:val="0"/>
        <w:adjustRightInd w:val="0"/>
        <w:spacing w:line="360" w:lineRule="auto"/>
        <w:ind w:firstLine="315" w:firstLineChars="150"/>
        <w:rPr>
          <w:rFonts w:ascii="宋体"/>
          <w:color w:val="auto"/>
          <w:szCs w:val="21"/>
        </w:rPr>
      </w:pPr>
      <w:r>
        <w:rPr>
          <w:rFonts w:ascii="宋体"/>
          <w:color w:val="auto"/>
          <w:szCs w:val="21"/>
        </w:rPr>
        <w:t xml:space="preserve">（1）各投标单位最终得分=投标报价总价得分； </w:t>
      </w:r>
    </w:p>
    <w:p>
      <w:pPr>
        <w:autoSpaceDE w:val="0"/>
        <w:autoSpaceDN w:val="0"/>
        <w:adjustRightInd w:val="0"/>
        <w:spacing w:line="360" w:lineRule="auto"/>
        <w:ind w:firstLine="315" w:firstLineChars="150"/>
        <w:rPr>
          <w:rFonts w:ascii="宋体"/>
          <w:color w:val="auto"/>
          <w:szCs w:val="21"/>
        </w:rPr>
      </w:pPr>
      <w:r>
        <w:rPr>
          <w:rFonts w:ascii="宋体"/>
          <w:color w:val="auto"/>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color w:val="auto"/>
          <w:szCs w:val="21"/>
        </w:rPr>
      </w:pPr>
      <w:r>
        <w:rPr>
          <w:rFonts w:ascii="宋体"/>
          <w:color w:val="auto"/>
          <w:szCs w:val="21"/>
        </w:rPr>
        <w:t>（3）如有两家或两家以上投标单位得分相同且为最高分，则确定投标报价低的单位为第一中标候选人</w:t>
      </w:r>
      <w:r>
        <w:rPr>
          <w:rFonts w:hint="eastAsia" w:ascii="宋体"/>
          <w:color w:val="auto"/>
          <w:szCs w:val="21"/>
        </w:rPr>
        <w:t>，若报价也相同，则按照送达标书签到的顺序抽签确定第一中标候选人</w:t>
      </w:r>
      <w:r>
        <w:rPr>
          <w:rFonts w:ascii="宋体"/>
          <w:color w:val="auto"/>
          <w:szCs w:val="21"/>
        </w:rPr>
        <w:t>。</w:t>
      </w:r>
    </w:p>
    <w:p>
      <w:pPr>
        <w:spacing w:line="360" w:lineRule="auto"/>
        <w:rPr>
          <w:rFonts w:ascii="宋体"/>
          <w:b/>
          <w:bCs/>
          <w:color w:val="auto"/>
          <w:szCs w:val="21"/>
        </w:rPr>
      </w:pPr>
      <w:r>
        <w:rPr>
          <w:rFonts w:hint="eastAsia" w:ascii="宋体"/>
          <w:b/>
          <w:bCs/>
          <w:color w:val="auto"/>
          <w:szCs w:val="21"/>
        </w:rPr>
        <w:t>注：</w:t>
      </w:r>
      <w:r>
        <w:rPr>
          <w:rFonts w:ascii="宋体"/>
          <w:b/>
          <w:bCs/>
          <w:color w:val="auto"/>
          <w:szCs w:val="21"/>
        </w:rPr>
        <w:t>开标、评标、定标流程</w:t>
      </w:r>
    </w:p>
    <w:p>
      <w:pPr>
        <w:spacing w:line="360" w:lineRule="auto"/>
        <w:rPr>
          <w:rFonts w:ascii="宋体"/>
          <w:b/>
          <w:color w:val="auto"/>
          <w:szCs w:val="21"/>
        </w:rPr>
      </w:pPr>
      <w:r>
        <w:rPr>
          <w:rFonts w:hint="eastAsia" w:ascii="宋体"/>
          <w:b/>
          <w:bCs/>
          <w:color w:val="auto"/>
          <w:szCs w:val="21"/>
        </w:rPr>
        <w:t xml:space="preserve">    </w:t>
      </w:r>
      <w:r>
        <w:rPr>
          <w:rFonts w:hint="eastAsia" w:ascii="宋体"/>
          <w:color w:val="auto"/>
          <w:szCs w:val="21"/>
        </w:rPr>
        <w:t>承包人</w:t>
      </w:r>
      <w:r>
        <w:rPr>
          <w:rFonts w:ascii="宋体"/>
          <w:color w:val="auto"/>
          <w:szCs w:val="21"/>
        </w:rPr>
        <w:t>员身份核验--投标文件密封检查--投标文件唱标--资格审查、清标--评分办法及相应系数抽取--定标</w:t>
      </w:r>
      <w:r>
        <w:rPr>
          <w:rFonts w:hint="eastAsia" w:ascii="宋体"/>
          <w:color w:val="auto"/>
          <w:szCs w:val="21"/>
        </w:rPr>
        <w:t>。</w:t>
      </w:r>
    </w:p>
    <w:p>
      <w:pPr>
        <w:pStyle w:val="11"/>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color w:val="auto"/>
          <w:szCs w:val="21"/>
        </w:rPr>
      </w:pPr>
      <w:r>
        <w:rPr>
          <w:rFonts w:hint="eastAsia" w:ascii="宋体"/>
          <w:b/>
          <w:color w:val="auto"/>
          <w:szCs w:val="21"/>
        </w:rPr>
        <w:t>1、</w:t>
      </w:r>
      <w:r>
        <w:rPr>
          <w:rFonts w:ascii="宋体"/>
          <w:b/>
          <w:color w:val="auto"/>
          <w:szCs w:val="21"/>
        </w:rPr>
        <w:t xml:space="preserve">凡涉及投标单位无故离开开标会议室导致其未参加评分办法及相应系数抽取此类质疑等一概不予受理。 </w:t>
      </w:r>
    </w:p>
    <w:p>
      <w:pPr>
        <w:spacing w:line="360" w:lineRule="auto"/>
        <w:ind w:firstLine="422" w:firstLineChars="200"/>
        <w:rPr>
          <w:rFonts w:hint="eastAsia" w:ascii="宋体"/>
          <w:b/>
          <w:color w:val="auto"/>
          <w:szCs w:val="21"/>
        </w:rPr>
      </w:pPr>
      <w:r>
        <w:rPr>
          <w:rFonts w:hint="eastAsia" w:ascii="宋体"/>
          <w:b/>
          <w:color w:val="auto"/>
          <w:szCs w:val="21"/>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pPr>
        <w:spacing w:line="360" w:lineRule="auto"/>
        <w:ind w:firstLine="422" w:firstLineChars="200"/>
        <w:rPr>
          <w:rFonts w:hint="eastAsia" w:ascii="宋体"/>
          <w:b/>
          <w:color w:val="auto"/>
          <w:szCs w:val="21"/>
        </w:rPr>
      </w:pPr>
      <w:r>
        <w:rPr>
          <w:rFonts w:hint="eastAsia" w:ascii="宋体"/>
          <w:b/>
          <w:color w:val="auto"/>
          <w:szCs w:val="21"/>
        </w:rPr>
        <w:t>3、评标结束后，无论是否出现招投标当事人异议、投诉以及评委评审和计算错误情形，评标基准价均不重新计算。</w:t>
      </w:r>
    </w:p>
    <w:p>
      <w:pPr>
        <w:rPr>
          <w:color w:val="auto"/>
        </w:rPr>
      </w:pPr>
    </w:p>
    <w:p/>
    <w:sectPr>
      <w:pgSz w:w="11906" w:h="16838"/>
      <w:pgMar w:top="1304" w:right="1797" w:bottom="96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633526"/>
    <w:multiLevelType w:val="singleLevel"/>
    <w:tmpl w:val="F3633526"/>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xNjlkZDhiMzQ3NGVlMmQ4MDMzODQ0Njc4MWM3NjcifQ=="/>
  </w:docVars>
  <w:rsids>
    <w:rsidRoot w:val="15B55150"/>
    <w:rsid w:val="013701DC"/>
    <w:rsid w:val="04A4313D"/>
    <w:rsid w:val="051C31D5"/>
    <w:rsid w:val="05A05D2B"/>
    <w:rsid w:val="05CF1AFF"/>
    <w:rsid w:val="07170899"/>
    <w:rsid w:val="0754675F"/>
    <w:rsid w:val="081447CD"/>
    <w:rsid w:val="08730E67"/>
    <w:rsid w:val="090B4B94"/>
    <w:rsid w:val="09DB3168"/>
    <w:rsid w:val="0A4A6AD9"/>
    <w:rsid w:val="0CCE2B10"/>
    <w:rsid w:val="0D735559"/>
    <w:rsid w:val="0EBF0935"/>
    <w:rsid w:val="0F093DBC"/>
    <w:rsid w:val="0F1E3C65"/>
    <w:rsid w:val="0FF509EA"/>
    <w:rsid w:val="10285956"/>
    <w:rsid w:val="106F63B8"/>
    <w:rsid w:val="108F0808"/>
    <w:rsid w:val="12FC5EFD"/>
    <w:rsid w:val="13A3144A"/>
    <w:rsid w:val="14C01C03"/>
    <w:rsid w:val="157224A6"/>
    <w:rsid w:val="15B55150"/>
    <w:rsid w:val="15F630D7"/>
    <w:rsid w:val="16290DB7"/>
    <w:rsid w:val="17044549"/>
    <w:rsid w:val="17207916"/>
    <w:rsid w:val="17B15508"/>
    <w:rsid w:val="18506ACF"/>
    <w:rsid w:val="19566367"/>
    <w:rsid w:val="198350C7"/>
    <w:rsid w:val="1A0538E9"/>
    <w:rsid w:val="1A301F8D"/>
    <w:rsid w:val="1AD339E7"/>
    <w:rsid w:val="1B125A4F"/>
    <w:rsid w:val="1CBD04AB"/>
    <w:rsid w:val="1D211FD1"/>
    <w:rsid w:val="1D994A74"/>
    <w:rsid w:val="1E482D48"/>
    <w:rsid w:val="1EDF7225"/>
    <w:rsid w:val="1FE447FC"/>
    <w:rsid w:val="208E30A9"/>
    <w:rsid w:val="2099122F"/>
    <w:rsid w:val="216A1E76"/>
    <w:rsid w:val="23D95C44"/>
    <w:rsid w:val="24AF2DCF"/>
    <w:rsid w:val="258B383C"/>
    <w:rsid w:val="25D71C58"/>
    <w:rsid w:val="26541E80"/>
    <w:rsid w:val="266D4CF0"/>
    <w:rsid w:val="267A740D"/>
    <w:rsid w:val="277531A4"/>
    <w:rsid w:val="28722A91"/>
    <w:rsid w:val="2B4D6E9E"/>
    <w:rsid w:val="2C583D4C"/>
    <w:rsid w:val="2C6B1CD2"/>
    <w:rsid w:val="2DBA204C"/>
    <w:rsid w:val="2E7F7CB6"/>
    <w:rsid w:val="2F6F0971"/>
    <w:rsid w:val="2F7B14E7"/>
    <w:rsid w:val="31C263FC"/>
    <w:rsid w:val="32E34D98"/>
    <w:rsid w:val="3368629B"/>
    <w:rsid w:val="34BA37F6"/>
    <w:rsid w:val="35621575"/>
    <w:rsid w:val="35C0308E"/>
    <w:rsid w:val="37F012DD"/>
    <w:rsid w:val="389A5E40"/>
    <w:rsid w:val="39580CF6"/>
    <w:rsid w:val="3963744A"/>
    <w:rsid w:val="397321C6"/>
    <w:rsid w:val="39A16D33"/>
    <w:rsid w:val="39C42A21"/>
    <w:rsid w:val="3A3A65D2"/>
    <w:rsid w:val="3A7E0E22"/>
    <w:rsid w:val="3AA7481D"/>
    <w:rsid w:val="3AAC3D94"/>
    <w:rsid w:val="3D123AC2"/>
    <w:rsid w:val="3D2C2DB7"/>
    <w:rsid w:val="3E636CAD"/>
    <w:rsid w:val="3FA00A41"/>
    <w:rsid w:val="407F1E75"/>
    <w:rsid w:val="41D13F2D"/>
    <w:rsid w:val="45525385"/>
    <w:rsid w:val="45637592"/>
    <w:rsid w:val="45D55970"/>
    <w:rsid w:val="463E71C8"/>
    <w:rsid w:val="46431460"/>
    <w:rsid w:val="46761547"/>
    <w:rsid w:val="46D06EA9"/>
    <w:rsid w:val="47E84A98"/>
    <w:rsid w:val="4895278C"/>
    <w:rsid w:val="48FF3A76"/>
    <w:rsid w:val="4A4831FA"/>
    <w:rsid w:val="4A6D4A0F"/>
    <w:rsid w:val="4BDE5BC4"/>
    <w:rsid w:val="4CC7095B"/>
    <w:rsid w:val="52D03D8D"/>
    <w:rsid w:val="53D1600F"/>
    <w:rsid w:val="561B265E"/>
    <w:rsid w:val="56626295"/>
    <w:rsid w:val="570404A9"/>
    <w:rsid w:val="574F578F"/>
    <w:rsid w:val="57783371"/>
    <w:rsid w:val="578A30A4"/>
    <w:rsid w:val="57A16150"/>
    <w:rsid w:val="580C26CA"/>
    <w:rsid w:val="5875340D"/>
    <w:rsid w:val="58C336C0"/>
    <w:rsid w:val="58FF53CC"/>
    <w:rsid w:val="5A880EFE"/>
    <w:rsid w:val="5B063544"/>
    <w:rsid w:val="5B21787C"/>
    <w:rsid w:val="5B9242D5"/>
    <w:rsid w:val="5DC215A6"/>
    <w:rsid w:val="5DFC1EDA"/>
    <w:rsid w:val="5E8223DB"/>
    <w:rsid w:val="603B4F3C"/>
    <w:rsid w:val="62B9539C"/>
    <w:rsid w:val="63FC70D8"/>
    <w:rsid w:val="65A569F8"/>
    <w:rsid w:val="65F34DF8"/>
    <w:rsid w:val="66435FEF"/>
    <w:rsid w:val="676F7BC1"/>
    <w:rsid w:val="678C03A6"/>
    <w:rsid w:val="69B875FD"/>
    <w:rsid w:val="6A582B8E"/>
    <w:rsid w:val="6C0905E4"/>
    <w:rsid w:val="6C621AA2"/>
    <w:rsid w:val="6D5E670D"/>
    <w:rsid w:val="6D785A21"/>
    <w:rsid w:val="6DE94229"/>
    <w:rsid w:val="6EB72E3A"/>
    <w:rsid w:val="70324BC7"/>
    <w:rsid w:val="70340FC0"/>
    <w:rsid w:val="71146069"/>
    <w:rsid w:val="72A03324"/>
    <w:rsid w:val="73E03B4E"/>
    <w:rsid w:val="74720900"/>
    <w:rsid w:val="75C458AB"/>
    <w:rsid w:val="766F7295"/>
    <w:rsid w:val="787C4DA0"/>
    <w:rsid w:val="7A24145C"/>
    <w:rsid w:val="7B1F6BAE"/>
    <w:rsid w:val="7E593159"/>
    <w:rsid w:val="7F2C21C7"/>
    <w:rsid w:val="7F622443"/>
    <w:rsid w:val="7F6F6558"/>
    <w:rsid w:val="7F9E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0"/>
    <w:rPr>
      <w:b/>
      <w:bCs/>
    </w:rPr>
  </w:style>
  <w:style w:type="paragraph" w:customStyle="1" w:styleId="1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3693</Words>
  <Characters>3913</Characters>
  <Lines>0</Lines>
  <Paragraphs>0</Paragraphs>
  <TotalTime>0</TotalTime>
  <ScaleCrop>false</ScaleCrop>
  <LinksUpToDate>false</LinksUpToDate>
  <CharactersWithSpaces>4079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2024-05-25T00:57:00Z</dcterms:created>
  <dc:creator>KARRY</dc:creator>
  <cp:lastModifiedBy>zzz</cp:lastModifiedBy>
  <dcterms:modified xsi:type="dcterms:W3CDTF">2024-06-04T01:58:36Z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7EF443CFB8DC427896B4D53F83D1D89B_11</vt:lpwstr>
  </property>
</Properties>
</file>