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6"/>
        <w:rPr>
          <w:b/>
          <w:sz w:val="24"/>
        </w:rPr>
      </w:pPr>
    </w:p>
    <w:p>
      <w:pPr>
        <w:pStyle w:val="6"/>
        <w:rPr>
          <w:b/>
          <w:sz w:val="24"/>
        </w:rPr>
      </w:pPr>
    </w:p>
    <w:p>
      <w:pPr>
        <w:pStyle w:val="6"/>
        <w:rPr>
          <w:b/>
          <w:sz w:val="24"/>
        </w:rPr>
      </w:pPr>
    </w:p>
    <w:p>
      <w:pPr>
        <w:pStyle w:val="6"/>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常州市金坛区实验幼儿园食堂改造项目</w:t>
      </w:r>
    </w:p>
    <w:p>
      <w:pPr>
        <w:pStyle w:val="6"/>
        <w:rPr>
          <w:b/>
          <w:sz w:val="28"/>
          <w:szCs w:val="22"/>
        </w:rPr>
      </w:pPr>
    </w:p>
    <w:p>
      <w:pPr>
        <w:pStyle w:val="6"/>
        <w:rPr>
          <w:b/>
          <w:sz w:val="28"/>
          <w:szCs w:val="22"/>
        </w:rPr>
      </w:pPr>
    </w:p>
    <w:p>
      <w:pPr>
        <w:pStyle w:val="6"/>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常州市金坛区实验幼儿园</w:t>
      </w:r>
    </w:p>
    <w:p>
      <w:pPr>
        <w:pStyle w:val="6"/>
        <w:rPr>
          <w:b/>
          <w:sz w:val="28"/>
          <w:szCs w:val="22"/>
        </w:rPr>
      </w:pPr>
    </w:p>
    <w:p>
      <w:pPr>
        <w:pStyle w:val="6"/>
        <w:rPr>
          <w:b/>
          <w:sz w:val="28"/>
          <w:szCs w:val="22"/>
        </w:rPr>
      </w:pPr>
    </w:p>
    <w:p>
      <w:pPr>
        <w:pStyle w:val="6"/>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6"/>
        <w:rPr>
          <w:b/>
          <w:sz w:val="28"/>
          <w:szCs w:val="22"/>
        </w:rPr>
      </w:pPr>
    </w:p>
    <w:p>
      <w:pPr>
        <w:pStyle w:val="6"/>
        <w:rPr>
          <w:b/>
          <w:sz w:val="28"/>
          <w:szCs w:val="22"/>
        </w:rPr>
      </w:pPr>
    </w:p>
    <w:p>
      <w:pPr>
        <w:pStyle w:val="6"/>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江苏和润工程项目管理有限公司</w:t>
      </w:r>
    </w:p>
    <w:p>
      <w:pPr>
        <w:pStyle w:val="6"/>
        <w:rPr>
          <w:b/>
          <w:sz w:val="28"/>
          <w:szCs w:val="22"/>
        </w:rPr>
      </w:pPr>
    </w:p>
    <w:p>
      <w:pPr>
        <w:pStyle w:val="6"/>
        <w:rPr>
          <w:b/>
          <w:sz w:val="28"/>
          <w:szCs w:val="22"/>
        </w:rPr>
      </w:pPr>
    </w:p>
    <w:p>
      <w:pPr>
        <w:pStyle w:val="6"/>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6"/>
        <w:rPr>
          <w:b/>
          <w:sz w:val="20"/>
        </w:rPr>
      </w:pPr>
    </w:p>
    <w:p>
      <w:pPr>
        <w:pStyle w:val="6"/>
        <w:rPr>
          <w:b/>
          <w:sz w:val="20"/>
        </w:rPr>
      </w:pPr>
    </w:p>
    <w:p>
      <w:pPr>
        <w:pStyle w:val="6"/>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6月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0"/>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w:t>
          </w:r>
          <w:r>
            <w:rPr>
              <w:rFonts w:hint="eastAsia"/>
              <w:lang w:val="en-US" w:eastAsia="zh-CN"/>
            </w:rPr>
            <w:t xml:space="preserve">  </w:t>
          </w:r>
          <w:r>
            <w:t>投标须知（前附表）</w:t>
          </w:r>
          <w:r>
            <w:tab/>
          </w:r>
          <w:r>
            <w:rPr>
              <w:rFonts w:ascii="Times New Roman" w:eastAsia="Times New Roman"/>
            </w:rPr>
            <w:t>1</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"_bookmark1" </w:instrText>
          </w:r>
          <w:r>
            <w:fldChar w:fldCharType="separate"/>
          </w:r>
          <w:r>
            <w:t>第二章</w:t>
          </w:r>
          <w:r>
            <w:rPr>
              <w:rFonts w:hint="eastAsia"/>
              <w:lang w:val="en-US" w:eastAsia="zh-CN"/>
            </w:rPr>
            <w:t xml:space="preserve">  </w:t>
          </w:r>
          <w:r>
            <w:t>合同协议</w:t>
          </w:r>
          <w:r>
            <w:tab/>
          </w:r>
          <w:r>
            <w:rPr>
              <w:rFonts w:ascii="Times New Roman" w:eastAsia="Times New Roman"/>
            </w:rPr>
            <w:t>11</w:t>
          </w:r>
          <w:r>
            <w:rPr>
              <w:rFonts w:ascii="Times New Roman" w:eastAsia="Times New Roman"/>
            </w:rPr>
            <w:fldChar w:fldCharType="end"/>
          </w:r>
        </w:p>
        <w:p>
          <w:pPr>
            <w:pStyle w:val="10"/>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w:t>
          </w:r>
          <w:r>
            <w:rPr>
              <w:rFonts w:hint="eastAsia"/>
              <w:lang w:val="en-US" w:eastAsia="zh-CN"/>
            </w:rPr>
            <w:t xml:space="preserve">  </w:t>
          </w:r>
          <w:r>
            <w:t>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6</w:t>
          </w:r>
        </w:p>
        <w:p>
          <w:pPr>
            <w:pStyle w:val="10"/>
            <w:tabs>
              <w:tab w:val="right" w:leader="dot" w:pos="8741"/>
            </w:tabs>
            <w:spacing w:before="263"/>
            <w:rPr>
              <w:rFonts w:hint="eastAsia" w:ascii="Times New Roman" w:eastAsia="宋体"/>
              <w:lang w:val="en-US" w:eastAsia="zh-CN"/>
            </w:rPr>
          </w:pPr>
          <w:r>
            <w:fldChar w:fldCharType="begin"/>
          </w:r>
          <w:r>
            <w:instrText xml:space="preserve"> HYPERLINK \l "_bookmark4" </w:instrText>
          </w:r>
          <w:r>
            <w:fldChar w:fldCharType="separate"/>
          </w:r>
          <w:r>
            <w:t>第</w:t>
          </w:r>
          <w:r>
            <w:rPr>
              <w:rFonts w:hint="eastAsia"/>
              <w:lang w:eastAsia="zh-CN"/>
            </w:rPr>
            <w:t>四</w:t>
          </w:r>
          <w:r>
            <w:t>章</w:t>
          </w:r>
          <w:r>
            <w:rPr>
              <w:rFonts w:hint="eastAsia"/>
              <w:lang w:val="en-US" w:eastAsia="zh-CN"/>
            </w:rPr>
            <w:t xml:space="preserve">  </w:t>
          </w:r>
          <w:r>
            <w:t>投标文件(格式)</w:t>
          </w:r>
          <w:r>
            <w:tab/>
          </w:r>
          <w:r>
            <w:rPr>
              <w:rFonts w:ascii="Times New Roman" w:eastAsia="Times New Roman"/>
            </w:rPr>
            <w:t>2</w:t>
          </w:r>
          <w:r>
            <w:rPr>
              <w:rFonts w:ascii="Times New Roman" w:eastAsia="Times New Roman"/>
            </w:rPr>
            <w:fldChar w:fldCharType="end"/>
          </w:r>
          <w:r>
            <w:rPr>
              <w:rFonts w:hint="eastAsia" w:ascii="Times New Roman" w:eastAsia="宋体"/>
              <w:lang w:val="en-US" w:eastAsia="zh-CN"/>
            </w:rPr>
            <w:t>7</w:t>
          </w:r>
        </w:p>
        <w:p>
          <w:pPr>
            <w:pStyle w:val="10"/>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w:t>
          </w:r>
          <w:r>
            <w:rPr>
              <w:rFonts w:hint="eastAsia"/>
              <w:lang w:val="en-US" w:eastAsia="zh-CN"/>
            </w:rPr>
            <w:t xml:space="preserve">  </w:t>
          </w:r>
          <w:r>
            <w:rPr>
              <w:rFonts w:hint="eastAsia"/>
            </w:rPr>
            <w:t>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4</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spacing w:before="193"/>
              <w:ind w:left="451"/>
              <w:rPr>
                <w:sz w:val="21"/>
              </w:rPr>
            </w:pPr>
            <w:r>
              <w:rPr>
                <w:sz w:val="21"/>
              </w:rPr>
              <w:t>工程名称</w:t>
            </w:r>
          </w:p>
        </w:tc>
        <w:tc>
          <w:tcPr>
            <w:tcW w:w="7206" w:type="dxa"/>
            <w:gridSpan w:val="3"/>
          </w:tcPr>
          <w:p>
            <w:pPr>
              <w:pStyle w:val="21"/>
              <w:rPr>
                <w:b/>
                <w:sz w:val="15"/>
              </w:rPr>
            </w:pPr>
          </w:p>
          <w:p>
            <w:pPr>
              <w:pStyle w:val="21"/>
              <w:spacing w:before="1"/>
              <w:ind w:left="803" w:right="788"/>
              <w:jc w:val="center"/>
              <w:rPr>
                <w:rFonts w:hint="eastAsia" w:eastAsia="宋体"/>
                <w:sz w:val="21"/>
                <w:lang w:eastAsia="zh-CN"/>
              </w:rPr>
            </w:pPr>
            <w:r>
              <w:rPr>
                <w:rFonts w:hint="eastAsia"/>
                <w:sz w:val="21"/>
                <w:lang w:eastAsia="zh-CN"/>
              </w:rPr>
              <w:t>常州市金坛区实验幼儿园食堂改造项目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建设地点</w:t>
            </w:r>
          </w:p>
        </w:tc>
        <w:tc>
          <w:tcPr>
            <w:tcW w:w="7206" w:type="dxa"/>
            <w:gridSpan w:val="3"/>
          </w:tcPr>
          <w:p>
            <w:pPr>
              <w:pStyle w:val="21"/>
              <w:rPr>
                <w:b/>
                <w:sz w:val="15"/>
              </w:rPr>
            </w:pPr>
          </w:p>
          <w:p>
            <w:pPr>
              <w:pStyle w:val="21"/>
              <w:spacing w:before="1"/>
              <w:ind w:left="803" w:right="685"/>
              <w:jc w:val="center"/>
              <w:rPr>
                <w:rFonts w:hint="eastAsia" w:eastAsia="宋体"/>
                <w:sz w:val="21"/>
                <w:lang w:eastAsia="zh-CN"/>
              </w:rPr>
            </w:pPr>
            <w:r>
              <w:rPr>
                <w:rFonts w:hint="eastAsia"/>
                <w:sz w:val="21"/>
                <w:lang w:eastAsia="zh-CN"/>
              </w:rPr>
              <w:t>常州市金坛区实验幼儿园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联 系 人</w:t>
            </w:r>
          </w:p>
        </w:tc>
        <w:tc>
          <w:tcPr>
            <w:tcW w:w="2767" w:type="dxa"/>
          </w:tcPr>
          <w:p>
            <w:pPr>
              <w:pStyle w:val="21"/>
              <w:rPr>
                <w:b/>
                <w:sz w:val="15"/>
                <w:highlight w:val="none"/>
              </w:rPr>
            </w:pPr>
          </w:p>
          <w:p>
            <w:pPr>
              <w:pStyle w:val="21"/>
              <w:spacing w:before="1"/>
              <w:ind w:left="1050" w:right="1036"/>
              <w:jc w:val="center"/>
              <w:rPr>
                <w:rFonts w:hint="eastAsia" w:eastAsia="宋体"/>
                <w:sz w:val="21"/>
                <w:highlight w:val="none"/>
                <w:lang w:eastAsia="zh-CN"/>
              </w:rPr>
            </w:pPr>
            <w:r>
              <w:rPr>
                <w:rFonts w:hint="eastAsia"/>
                <w:sz w:val="21"/>
                <w:highlight w:val="none"/>
                <w:lang w:val="en-US" w:eastAsia="zh-CN"/>
              </w:rPr>
              <w:t>赵</w:t>
            </w:r>
            <w:r>
              <w:rPr>
                <w:rFonts w:hint="eastAsia"/>
                <w:sz w:val="21"/>
                <w:highlight w:val="none"/>
                <w:lang w:eastAsia="zh-CN"/>
              </w:rPr>
              <w:t>老师</w:t>
            </w:r>
          </w:p>
        </w:tc>
        <w:tc>
          <w:tcPr>
            <w:tcW w:w="2265" w:type="dxa"/>
          </w:tcPr>
          <w:p>
            <w:pPr>
              <w:pStyle w:val="21"/>
              <w:rPr>
                <w:b/>
                <w:sz w:val="15"/>
                <w:highlight w:val="none"/>
              </w:rPr>
            </w:pPr>
          </w:p>
          <w:p>
            <w:pPr>
              <w:pStyle w:val="21"/>
              <w:spacing w:before="1"/>
              <w:ind w:left="714"/>
              <w:rPr>
                <w:sz w:val="21"/>
                <w:highlight w:val="none"/>
              </w:rPr>
            </w:pPr>
            <w:r>
              <w:rPr>
                <w:sz w:val="21"/>
                <w:highlight w:val="none"/>
              </w:rPr>
              <w:t>联系电话</w:t>
            </w:r>
          </w:p>
        </w:tc>
        <w:tc>
          <w:tcPr>
            <w:tcW w:w="2174" w:type="dxa"/>
            <w:vAlign w:val="center"/>
          </w:tcPr>
          <w:p>
            <w:pPr>
              <w:pStyle w:val="21"/>
              <w:spacing w:before="1"/>
              <w:jc w:val="center"/>
              <w:rPr>
                <w:rFonts w:hint="default" w:eastAsia="宋体"/>
                <w:sz w:val="21"/>
                <w:highlight w:val="none"/>
                <w:lang w:val="en-US" w:eastAsia="zh-CN"/>
              </w:rPr>
            </w:pPr>
            <w:r>
              <w:rPr>
                <w:rFonts w:hint="eastAsia"/>
                <w:sz w:val="21"/>
                <w:highlight w:val="none"/>
                <w:lang w:val="en-US" w:eastAsia="zh-CN"/>
              </w:rPr>
              <w:t>0519-82818783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招标方式</w:t>
            </w:r>
          </w:p>
        </w:tc>
        <w:tc>
          <w:tcPr>
            <w:tcW w:w="7206" w:type="dxa"/>
            <w:gridSpan w:val="3"/>
          </w:tcPr>
          <w:p>
            <w:pPr>
              <w:pStyle w:val="21"/>
              <w:rPr>
                <w:b/>
                <w:sz w:val="15"/>
              </w:rPr>
            </w:pPr>
          </w:p>
          <w:p>
            <w:pPr>
              <w:pStyle w:val="21"/>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1"/>
              <w:spacing w:before="1"/>
              <w:rPr>
                <w:b/>
                <w:sz w:val="15"/>
              </w:rPr>
            </w:pPr>
          </w:p>
          <w:p>
            <w:pPr>
              <w:pStyle w:val="21"/>
              <w:ind w:left="451"/>
              <w:rPr>
                <w:sz w:val="21"/>
              </w:rPr>
            </w:pPr>
            <w:r>
              <w:rPr>
                <w:sz w:val="21"/>
              </w:rPr>
              <w:t>招标范围</w:t>
            </w:r>
          </w:p>
        </w:tc>
        <w:tc>
          <w:tcPr>
            <w:tcW w:w="7206" w:type="dxa"/>
            <w:gridSpan w:val="3"/>
          </w:tcPr>
          <w:p>
            <w:pPr>
              <w:pStyle w:val="21"/>
              <w:spacing w:before="1"/>
              <w:rPr>
                <w:b/>
                <w:sz w:val="15"/>
              </w:rPr>
            </w:pPr>
          </w:p>
          <w:p>
            <w:pPr>
              <w:pStyle w:val="21"/>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22"/>
              <w:rPr>
                <w:sz w:val="21"/>
              </w:rPr>
            </w:pPr>
            <w:r>
              <w:rPr>
                <w:sz w:val="21"/>
              </w:rPr>
              <w:t>工期要求</w:t>
            </w:r>
          </w:p>
        </w:tc>
        <w:tc>
          <w:tcPr>
            <w:tcW w:w="7206" w:type="dxa"/>
            <w:gridSpan w:val="3"/>
          </w:tcPr>
          <w:p>
            <w:pPr>
              <w:pStyle w:val="21"/>
              <w:rPr>
                <w:b/>
                <w:sz w:val="15"/>
                <w:highlight w:val="none"/>
              </w:rPr>
            </w:pPr>
          </w:p>
          <w:p>
            <w:pPr>
              <w:pStyle w:val="21"/>
              <w:spacing w:before="1"/>
              <w:ind w:right="788"/>
              <w:jc w:val="center"/>
              <w:rPr>
                <w:rFonts w:hint="eastAsia" w:eastAsia="宋体"/>
                <w:sz w:val="21"/>
                <w:highlight w:val="none"/>
                <w:lang w:val="en-US" w:eastAsia="zh-CN"/>
              </w:rPr>
            </w:pPr>
            <w:r>
              <w:rPr>
                <w:rFonts w:hint="eastAsia" w:cs="宋体"/>
                <w:sz w:val="21"/>
                <w:highlight w:val="none"/>
                <w:lang w:val="en-US" w:eastAsia="zh-CN"/>
              </w:rPr>
              <w:t>30日历天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质量要求</w:t>
            </w:r>
          </w:p>
        </w:tc>
        <w:tc>
          <w:tcPr>
            <w:tcW w:w="7206" w:type="dxa"/>
            <w:gridSpan w:val="3"/>
          </w:tcPr>
          <w:p>
            <w:pPr>
              <w:pStyle w:val="21"/>
              <w:rPr>
                <w:b/>
                <w:sz w:val="15"/>
              </w:rPr>
            </w:pPr>
          </w:p>
          <w:p>
            <w:pPr>
              <w:pStyle w:val="21"/>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现场踏勘</w:t>
            </w:r>
          </w:p>
        </w:tc>
        <w:tc>
          <w:tcPr>
            <w:tcW w:w="7206" w:type="dxa"/>
            <w:gridSpan w:val="3"/>
          </w:tcPr>
          <w:p>
            <w:pPr>
              <w:pStyle w:val="21"/>
              <w:rPr>
                <w:b/>
                <w:sz w:val="15"/>
              </w:rPr>
            </w:pPr>
          </w:p>
          <w:p>
            <w:pPr>
              <w:pStyle w:val="21"/>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345"/>
              <w:rPr>
                <w:sz w:val="21"/>
              </w:rPr>
            </w:pPr>
            <w:r>
              <w:rPr>
                <w:sz w:val="21"/>
              </w:rPr>
              <w:t>投标有效期</w:t>
            </w:r>
          </w:p>
        </w:tc>
        <w:tc>
          <w:tcPr>
            <w:tcW w:w="7206" w:type="dxa"/>
            <w:gridSpan w:val="3"/>
          </w:tcPr>
          <w:p>
            <w:pPr>
              <w:pStyle w:val="21"/>
              <w:rPr>
                <w:b/>
                <w:sz w:val="15"/>
              </w:rPr>
            </w:pPr>
          </w:p>
          <w:p>
            <w:pPr>
              <w:pStyle w:val="21"/>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1"/>
              <w:spacing w:before="1"/>
              <w:jc w:val="center"/>
              <w:rPr>
                <w:sz w:val="21"/>
              </w:rPr>
            </w:pPr>
            <w:r>
              <w:rPr>
                <w:sz w:val="21"/>
              </w:rPr>
              <w:t>投标文件份数</w:t>
            </w:r>
          </w:p>
        </w:tc>
        <w:tc>
          <w:tcPr>
            <w:tcW w:w="7206" w:type="dxa"/>
            <w:gridSpan w:val="3"/>
          </w:tcPr>
          <w:p>
            <w:pPr>
              <w:pStyle w:val="21"/>
              <w:spacing w:before="1" w:line="400" w:lineRule="atLeast"/>
              <w:ind w:left="108" w:right="148"/>
              <w:rPr>
                <w:sz w:val="21"/>
              </w:rPr>
            </w:pPr>
            <w:r>
              <w:rPr>
                <w:rFonts w:hint="eastAsia"/>
                <w:sz w:val="21"/>
              </w:rPr>
              <w:t>正本：一套。开标截止时间前装袋、密封提交。</w:t>
            </w:r>
          </w:p>
          <w:p>
            <w:pPr>
              <w:pStyle w:val="21"/>
              <w:spacing w:before="1" w:line="400" w:lineRule="atLeast"/>
              <w:ind w:left="108" w:right="148"/>
              <w:rPr>
                <w:sz w:val="21"/>
              </w:rPr>
            </w:pPr>
            <w:r>
              <w:rPr>
                <w:rFonts w:hint="eastAsia"/>
                <w:sz w:val="21"/>
              </w:rPr>
              <w:t>副本开标时无需提供。投标单位在中标后，领取中标通知书时，另行提供两套投标文件。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1"/>
              <w:spacing w:before="1"/>
              <w:ind w:left="345"/>
              <w:rPr>
                <w:sz w:val="21"/>
                <w:highlight w:val="none"/>
              </w:rPr>
            </w:pPr>
            <w:r>
              <w:rPr>
                <w:sz w:val="21"/>
                <w:highlight w:val="none"/>
              </w:rPr>
              <w:t>投标保证金</w:t>
            </w:r>
          </w:p>
        </w:tc>
        <w:tc>
          <w:tcPr>
            <w:tcW w:w="7206" w:type="dxa"/>
            <w:gridSpan w:val="3"/>
            <w:vAlign w:val="center"/>
          </w:tcPr>
          <w:p>
            <w:pPr>
              <w:pStyle w:val="21"/>
              <w:spacing w:line="400" w:lineRule="atLeast"/>
              <w:ind w:left="108" w:right="148"/>
              <w:rPr>
                <w:sz w:val="21"/>
                <w:highlight w:val="none"/>
                <w:lang w:val="en-US"/>
              </w:rPr>
            </w:pPr>
            <w:r>
              <w:rPr>
                <w:rFonts w:hint="eastAsia"/>
                <w:b/>
                <w:bCs/>
                <w:sz w:val="21"/>
                <w:szCs w:val="21"/>
                <w:highlight w:val="none"/>
                <w:u w:val="single"/>
                <w:lang w:val="en-US" w:eastAsia="zh-CN"/>
              </w:rPr>
              <w:t xml:space="preserve">  3900 </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1"/>
              <w:spacing w:before="1"/>
              <w:ind w:left="345"/>
              <w:jc w:val="center"/>
              <w:rPr>
                <w:sz w:val="21"/>
              </w:rPr>
            </w:pPr>
          </w:p>
          <w:p>
            <w:pPr>
              <w:pStyle w:val="21"/>
              <w:spacing w:before="1" w:line="357" w:lineRule="auto"/>
              <w:ind w:right="122"/>
              <w:jc w:val="center"/>
              <w:rPr>
                <w:sz w:val="21"/>
              </w:rPr>
            </w:pPr>
            <w:r>
              <w:rPr>
                <w:sz w:val="21"/>
              </w:rPr>
              <w:t>投标文件递交地点及截至时间</w:t>
            </w:r>
          </w:p>
        </w:tc>
        <w:tc>
          <w:tcPr>
            <w:tcW w:w="7206" w:type="dxa"/>
            <w:gridSpan w:val="3"/>
          </w:tcPr>
          <w:p>
            <w:pPr>
              <w:pStyle w:val="21"/>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江苏和润工程项目管理有限公司</w:t>
            </w:r>
          </w:p>
          <w:p>
            <w:pPr>
              <w:pStyle w:val="21"/>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p>
            <w:pPr>
              <w:pStyle w:val="21"/>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6</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25</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上</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10:30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1"/>
              <w:spacing w:before="1"/>
              <w:jc w:val="center"/>
              <w:rPr>
                <w:sz w:val="21"/>
                <w:highlight w:val="none"/>
              </w:rPr>
            </w:pPr>
            <w:r>
              <w:rPr>
                <w:sz w:val="21"/>
                <w:highlight w:val="none"/>
              </w:rPr>
              <w:t>开标时间、地点</w:t>
            </w:r>
          </w:p>
        </w:tc>
        <w:tc>
          <w:tcPr>
            <w:tcW w:w="7206" w:type="dxa"/>
            <w:gridSpan w:val="3"/>
          </w:tcPr>
          <w:p>
            <w:pPr>
              <w:pStyle w:val="21"/>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6</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25</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上</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10:30</w:t>
            </w:r>
            <w:r>
              <w:rPr>
                <w:sz w:val="21"/>
                <w:highlight w:val="none"/>
              </w:rPr>
              <w:t>。</w:t>
            </w:r>
          </w:p>
          <w:p>
            <w:pPr>
              <w:pStyle w:val="21"/>
              <w:spacing w:line="400" w:lineRule="atLeast"/>
              <w:ind w:left="108" w:right="88"/>
              <w:rPr>
                <w:sz w:val="21"/>
                <w:highlight w:val="none"/>
              </w:rPr>
            </w:pPr>
            <w:r>
              <w:rPr>
                <w:sz w:val="21"/>
                <w:highlight w:val="none"/>
              </w:rPr>
              <w:t>地点：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1"/>
              <w:spacing w:before="1"/>
              <w:jc w:val="center"/>
              <w:rPr>
                <w:sz w:val="21"/>
                <w:highlight w:val="none"/>
              </w:rPr>
            </w:pPr>
            <w:r>
              <w:rPr>
                <w:sz w:val="21"/>
                <w:highlight w:val="none"/>
              </w:rPr>
              <w:t>控制价</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highlight w:val="none"/>
              </w:rPr>
            </w:pPr>
            <w:r>
              <w:rPr>
                <w:rFonts w:hint="eastAsia"/>
                <w:b/>
                <w:color w:val="0000FF"/>
                <w:sz w:val="21"/>
                <w:highlight w:val="none"/>
                <w:lang w:val="en-US" w:eastAsia="zh-CN"/>
              </w:rPr>
              <w:t xml:space="preserve"> 198811.13 </w:t>
            </w:r>
            <w:r>
              <w:rPr>
                <w:b/>
                <w:color w:val="0000FF"/>
                <w:sz w:val="21"/>
                <w:highlight w:val="none"/>
              </w:rPr>
              <w:t>元</w:t>
            </w:r>
            <w:r>
              <w:rPr>
                <w:sz w:val="21"/>
                <w:highlight w:val="none"/>
              </w:rPr>
              <w:t>，</w:t>
            </w:r>
            <w:r>
              <w:rPr>
                <w:rFonts w:hint="eastAsia"/>
                <w:sz w:val="21"/>
                <w:highlight w:val="none"/>
              </w:rPr>
              <w:t>投标报价超过控制价或任一项目综合单价为0、负数、超过控制单价或缺项者均作无效标处理</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1"/>
              <w:spacing w:before="1"/>
              <w:jc w:val="center"/>
              <w:rPr>
                <w:sz w:val="21"/>
              </w:rPr>
            </w:pPr>
            <w:r>
              <w:rPr>
                <w:sz w:val="21"/>
              </w:rPr>
              <w:t>评标办法</w:t>
            </w:r>
          </w:p>
        </w:tc>
        <w:tc>
          <w:tcPr>
            <w:tcW w:w="7206" w:type="dxa"/>
            <w:gridSpan w:val="3"/>
          </w:tcPr>
          <w:p>
            <w:pPr>
              <w:pStyle w:val="21"/>
              <w:spacing w:before="109"/>
              <w:ind w:left="108"/>
              <w:rPr>
                <w:sz w:val="21"/>
                <w:highlight w:val="none"/>
              </w:rPr>
            </w:pPr>
            <w:r>
              <w:rPr>
                <w:sz w:val="21"/>
                <w:highlight w:val="none"/>
              </w:rPr>
              <w:t>具体详见本招标文件第</w:t>
            </w:r>
            <w:r>
              <w:rPr>
                <w:rFonts w:hint="eastAsia"/>
                <w:sz w:val="21"/>
                <w:highlight w:val="none"/>
                <w:lang w:eastAsia="zh-CN"/>
              </w:rPr>
              <w:t>五</w:t>
            </w:r>
            <w:r>
              <w:rPr>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spacing w:before="1"/>
              <w:jc w:val="center"/>
              <w:rPr>
                <w:sz w:val="21"/>
              </w:rPr>
            </w:pPr>
            <w:r>
              <w:rPr>
                <w:sz w:val="21"/>
              </w:rPr>
              <w:t>付款方式</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3）上述款项均须在工程竣工验收合格后方可支付。</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ascii="宋体" w:hAnsi="宋体" w:eastAsia="宋体" w:cs="宋体"/>
                <w:sz w:val="21"/>
                <w:lang w:val="en-US" w:eastAsia="zh-CN"/>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1"/>
              <w:keepNext w:val="0"/>
              <w:keepLines w:val="0"/>
              <w:pageBreakBefore w:val="0"/>
              <w:widowControl w:val="0"/>
              <w:kinsoku/>
              <w:wordWrap/>
              <w:overflowPunct/>
              <w:topLinePunct w:val="0"/>
              <w:autoSpaceDE w:val="0"/>
              <w:autoSpaceDN w:val="0"/>
              <w:bidi w:val="0"/>
              <w:adjustRightInd/>
              <w:snapToGrid/>
              <w:spacing w:before="1" w:line="360" w:lineRule="auto"/>
              <w:ind w:left="108" w:right="141"/>
              <w:textAlignment w:val="auto"/>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1"/>
              <w:keepNext w:val="0"/>
              <w:keepLines w:val="0"/>
              <w:pageBreakBefore w:val="0"/>
              <w:widowControl w:val="0"/>
              <w:kinsoku/>
              <w:wordWrap/>
              <w:overflowPunct/>
              <w:topLinePunct w:val="0"/>
              <w:autoSpaceDE w:val="0"/>
              <w:autoSpaceDN w:val="0"/>
              <w:bidi w:val="0"/>
              <w:adjustRightInd/>
              <w:snapToGrid/>
              <w:spacing w:before="8" w:line="360" w:lineRule="auto"/>
              <w:ind w:left="108" w:leftChars="0" w:right="150" w:rightChars="0"/>
              <w:textAlignment w:val="auto"/>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1"/>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1"/>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1"/>
              <w:spacing w:line="357" w:lineRule="auto"/>
              <w:ind w:left="108" w:right="258"/>
              <w:rPr>
                <w:sz w:val="21"/>
              </w:rPr>
            </w:pPr>
            <w:r>
              <w:rPr>
                <w:sz w:val="21"/>
              </w:rPr>
              <w:t>2、以上参加人员在开标时间截止时有下列情形之一的，视为自动放弃投标处理，招标人不予受理：</w:t>
            </w:r>
          </w:p>
          <w:p>
            <w:pPr>
              <w:pStyle w:val="21"/>
              <w:numPr>
                <w:ilvl w:val="0"/>
                <w:numId w:val="1"/>
              </w:numPr>
              <w:tabs>
                <w:tab w:val="left" w:pos="847"/>
              </w:tabs>
              <w:spacing w:line="267" w:lineRule="exact"/>
              <w:rPr>
                <w:sz w:val="21"/>
              </w:rPr>
            </w:pPr>
            <w:r>
              <w:rPr>
                <w:spacing w:val="-3"/>
                <w:sz w:val="21"/>
              </w:rPr>
              <w:t>未到达开标现场的；</w:t>
            </w:r>
          </w:p>
          <w:p>
            <w:pPr>
              <w:pStyle w:val="21"/>
              <w:numPr>
                <w:ilvl w:val="0"/>
                <w:numId w:val="1"/>
              </w:numPr>
              <w:tabs>
                <w:tab w:val="left" w:pos="847"/>
              </w:tabs>
              <w:spacing w:before="127"/>
              <w:rPr>
                <w:sz w:val="21"/>
              </w:rPr>
            </w:pPr>
            <w:r>
              <w:rPr>
                <w:spacing w:val="-3"/>
                <w:sz w:val="21"/>
              </w:rPr>
              <w:t>未参加投标签到的；</w:t>
            </w:r>
          </w:p>
          <w:p>
            <w:pPr>
              <w:pStyle w:val="21"/>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1"/>
              <w:spacing w:before="3" w:line="357" w:lineRule="auto"/>
              <w:ind w:left="108" w:right="152"/>
              <w:jc w:val="both"/>
              <w:rPr>
                <w:sz w:val="21"/>
              </w:rPr>
            </w:pPr>
            <w:r>
              <w:rPr>
                <w:sz w:val="21"/>
              </w:rPr>
              <w:t>4</w:t>
            </w:r>
            <w:r>
              <w:rPr>
                <w:spacing w:val="-5"/>
                <w:sz w:val="21"/>
              </w:rPr>
              <w:t>、关于结算审核费：本工程结算审核的核减费费率控制在</w:t>
            </w:r>
            <w:r>
              <w:rPr>
                <w:sz w:val="21"/>
              </w:rPr>
              <w:t>8%内</w:t>
            </w:r>
            <w:r>
              <w:rPr>
                <w:spacing w:val="-3"/>
                <w:sz w:val="21"/>
              </w:rPr>
              <w:t>（</w:t>
            </w:r>
            <w:r>
              <w:rPr>
                <w:spacing w:val="-19"/>
                <w:sz w:val="21"/>
              </w:rPr>
              <w:t>含</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%时，审核费用乙方必须承担全部审计费用的一半；核减费费率</w:t>
            </w:r>
            <w:r>
              <w:rPr>
                <w:sz w:val="21"/>
              </w:rPr>
              <w:t>＞12</w:t>
            </w:r>
            <w:r>
              <w:rPr>
                <w:spacing w:val="-3"/>
                <w:sz w:val="21"/>
              </w:rPr>
              <w:t>%时，该工程所有审计费均由乙方承担。</w:t>
            </w:r>
          </w:p>
          <w:p>
            <w:pPr>
              <w:pStyle w:val="21"/>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1"/>
              <w:spacing w:line="357" w:lineRule="auto"/>
              <w:ind w:left="108" w:right="37"/>
              <w:rPr>
                <w:sz w:val="21"/>
              </w:rPr>
            </w:pPr>
            <w:r>
              <w:rPr>
                <w:sz w:val="21"/>
              </w:rPr>
              <w:t>6、施工过程中扬尘、噪音控制等需符合相关文件规定费用各投标单位在投标报价中自行考虑，不再另行结算。</w:t>
            </w:r>
          </w:p>
          <w:p>
            <w:pPr>
              <w:pStyle w:val="21"/>
              <w:spacing w:line="357" w:lineRule="auto"/>
              <w:ind w:left="108" w:right="37"/>
              <w:rPr>
                <w:sz w:val="21"/>
                <w:highlight w:val="none"/>
              </w:rPr>
            </w:pPr>
            <w:r>
              <w:rPr>
                <w:sz w:val="21"/>
              </w:rPr>
              <w:t>7、本项目招标代</w:t>
            </w:r>
            <w:r>
              <w:rPr>
                <w:sz w:val="21"/>
                <w:highlight w:val="none"/>
              </w:rPr>
              <w:t>理服务费</w:t>
            </w:r>
            <w:r>
              <w:rPr>
                <w:rFonts w:hint="eastAsia"/>
                <w:sz w:val="21"/>
                <w:highlight w:val="none"/>
                <w:lang w:eastAsia="zh-CN"/>
              </w:rPr>
              <w:t>：</w:t>
            </w:r>
            <w:r>
              <w:rPr>
                <w:rFonts w:hint="eastAsia"/>
                <w:sz w:val="21"/>
                <w:highlight w:val="none"/>
                <w:lang w:val="en-US" w:eastAsia="zh-CN"/>
              </w:rPr>
              <w:t>2000元</w:t>
            </w:r>
            <w:r>
              <w:rPr>
                <w:sz w:val="21"/>
                <w:highlight w:val="none"/>
              </w:rPr>
              <w:t>，由中标单位在领取中标通知书时，以现金形式一次性支付给招标代理单位，各投标单位在投标报价时综合考虑。</w:t>
            </w:r>
          </w:p>
          <w:p>
            <w:pPr>
              <w:pStyle w:val="21"/>
              <w:spacing w:line="357" w:lineRule="auto"/>
              <w:ind w:left="108" w:right="37"/>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w:t>
            </w:r>
            <w:r>
              <w:rPr>
                <w:rFonts w:hint="eastAsia"/>
                <w:sz w:val="21"/>
              </w:rPr>
              <w:t>程综合单价均不得超过控制价中对应综合单价。</w:t>
            </w:r>
          </w:p>
        </w:tc>
      </w:tr>
    </w:tbl>
    <w:p>
      <w:pPr>
        <w:rPr>
          <w:sz w:val="21"/>
        </w:rPr>
        <w:sectPr>
          <w:pgSz w:w="11910" w:h="16850"/>
          <w:pgMar w:top="1440" w:right="260" w:bottom="680" w:left="1360" w:header="0" w:footer="570" w:gutter="0"/>
          <w:cols w:space="720" w:num="1"/>
        </w:sectPr>
      </w:pPr>
    </w:p>
    <w:p>
      <w:pPr>
        <w:pStyle w:val="2"/>
        <w:spacing w:before="49"/>
        <w:ind w:left="0" w:leftChars="0" w:firstLine="0" w:firstLineChars="0"/>
        <w:jc w:val="center"/>
      </w:pPr>
      <w:r>
        <w:t>一、总 则</w:t>
      </w:r>
    </w:p>
    <w:p>
      <w:pPr>
        <w:pStyle w:val="6"/>
        <w:spacing w:before="131"/>
        <w:ind w:left="682"/>
      </w:pPr>
      <w:r>
        <w:t>（一）工程概况</w:t>
      </w:r>
    </w:p>
    <w:p>
      <w:pPr>
        <w:pStyle w:val="6"/>
        <w:spacing w:before="130"/>
        <w:ind w:left="1138"/>
      </w:pPr>
      <w:r>
        <w:t>1、现场施工条件</w:t>
      </w:r>
    </w:p>
    <w:p>
      <w:pPr>
        <w:pStyle w:val="6"/>
        <w:tabs>
          <w:tab w:val="left" w:pos="3700"/>
          <w:tab w:val="left" w:pos="3911"/>
          <w:tab w:val="left" w:pos="5483"/>
          <w:tab w:val="left" w:pos="5694"/>
        </w:tabs>
        <w:spacing w:before="131" w:line="357" w:lineRule="auto"/>
        <w:ind w:left="1390" w:right="4378"/>
        <w:jc w:val="both"/>
        <w:rPr>
          <w:highlight w:val="none"/>
        </w:rPr>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rFonts w:hint="eastAsia"/>
          <w:u w:val="single"/>
          <w:lang w:val="en-US" w:eastAsia="zh-CN"/>
        </w:rPr>
        <w:t xml:space="preserve">   </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highlight w:val="none"/>
          <w:u w:val="single"/>
        </w:rPr>
        <w:t>无</w:t>
      </w:r>
      <w:r>
        <w:rPr>
          <w:highlight w:val="none"/>
          <w:u w:val="single"/>
        </w:rPr>
        <w:tab/>
      </w:r>
      <w:r>
        <w:rPr>
          <w:highlight w:val="none"/>
          <w:u w:val="single"/>
        </w:rPr>
        <w:tab/>
      </w:r>
      <w:r>
        <w:rPr>
          <w:highlight w:val="none"/>
        </w:rPr>
        <w:t>。</w:t>
      </w:r>
    </w:p>
    <w:p>
      <w:pPr>
        <w:pStyle w:val="6"/>
        <w:tabs>
          <w:tab w:val="left" w:pos="3980"/>
          <w:tab w:val="left" w:pos="5558"/>
        </w:tabs>
        <w:spacing w:line="264" w:lineRule="exact"/>
        <w:ind w:left="1146"/>
        <w:jc w:val="both"/>
        <w:rPr>
          <w:highlight w:val="none"/>
        </w:rPr>
      </w:pPr>
      <w:r>
        <w:rPr>
          <w:highlight w:val="none"/>
        </w:rPr>
        <w:t>2</w:t>
      </w:r>
      <w:r>
        <w:rPr>
          <w:spacing w:val="-3"/>
          <w:highlight w:val="none"/>
        </w:rPr>
        <w:t>、</w:t>
      </w:r>
      <w:r>
        <w:rPr>
          <w:highlight w:val="none"/>
        </w:rPr>
        <w:t>工程</w:t>
      </w:r>
      <w:r>
        <w:rPr>
          <w:spacing w:val="-3"/>
          <w:highlight w:val="none"/>
        </w:rPr>
        <w:t>资</w:t>
      </w:r>
      <w:r>
        <w:rPr>
          <w:highlight w:val="none"/>
        </w:rPr>
        <w:t>金</w:t>
      </w:r>
      <w:r>
        <w:rPr>
          <w:spacing w:val="-3"/>
          <w:highlight w:val="none"/>
        </w:rPr>
        <w:t>来</w:t>
      </w:r>
      <w:r>
        <w:rPr>
          <w:highlight w:val="none"/>
        </w:rPr>
        <w:t>源</w:t>
      </w:r>
      <w:r>
        <w:rPr>
          <w:highlight w:val="none"/>
          <w:u w:val="single"/>
        </w:rPr>
        <w:tab/>
      </w:r>
      <w:r>
        <w:rPr>
          <w:rFonts w:hint="eastAsia"/>
          <w:highlight w:val="none"/>
          <w:u w:val="single"/>
          <w:lang w:val="en-US" w:eastAsia="zh-CN"/>
        </w:rPr>
        <w:t>财政</w:t>
      </w:r>
      <w:r>
        <w:rPr>
          <w:highlight w:val="none"/>
          <w:u w:val="single"/>
        </w:rPr>
        <w:tab/>
      </w:r>
      <w:r>
        <w:rPr>
          <w:highlight w:val="none"/>
        </w:rPr>
        <w:t>。</w:t>
      </w:r>
    </w:p>
    <w:p>
      <w:pPr>
        <w:pStyle w:val="6"/>
        <w:tabs>
          <w:tab w:val="left" w:pos="3980"/>
        </w:tabs>
        <w:spacing w:before="132"/>
        <w:ind w:left="1146"/>
        <w:jc w:val="both"/>
        <w:rPr>
          <w:highlight w:val="none"/>
        </w:rPr>
      </w:pPr>
      <w:r>
        <w:rPr>
          <w:highlight w:val="none"/>
        </w:rPr>
        <w:t>3</w:t>
      </w:r>
      <w:r>
        <w:rPr>
          <w:spacing w:val="-3"/>
          <w:highlight w:val="none"/>
        </w:rPr>
        <w:t>、</w:t>
      </w:r>
      <w:r>
        <w:rPr>
          <w:highlight w:val="none"/>
        </w:rPr>
        <w:t>工程</w:t>
      </w:r>
      <w:r>
        <w:rPr>
          <w:spacing w:val="-3"/>
          <w:highlight w:val="none"/>
        </w:rPr>
        <w:t>资</w:t>
      </w:r>
      <w:r>
        <w:rPr>
          <w:highlight w:val="none"/>
        </w:rPr>
        <w:t>金</w:t>
      </w:r>
      <w:r>
        <w:rPr>
          <w:spacing w:val="-3"/>
          <w:highlight w:val="none"/>
        </w:rPr>
        <w:t>落</w:t>
      </w:r>
      <w:r>
        <w:rPr>
          <w:highlight w:val="none"/>
        </w:rPr>
        <w:t>实</w:t>
      </w:r>
      <w:r>
        <w:rPr>
          <w:spacing w:val="-3"/>
          <w:highlight w:val="none"/>
        </w:rPr>
        <w:t>情</w:t>
      </w:r>
      <w:r>
        <w:rPr>
          <w:highlight w:val="none"/>
        </w:rPr>
        <w:t>况</w:t>
      </w:r>
      <w:r>
        <w:rPr>
          <w:highlight w:val="none"/>
          <w:u w:val="single"/>
        </w:rPr>
        <w:tab/>
      </w:r>
      <w:r>
        <w:rPr>
          <w:highlight w:val="none"/>
          <w:u w:val="single"/>
        </w:rPr>
        <w:t>已</w:t>
      </w:r>
      <w:r>
        <w:rPr>
          <w:spacing w:val="-3"/>
          <w:highlight w:val="none"/>
          <w:u w:val="single"/>
        </w:rPr>
        <w:t>落</w:t>
      </w:r>
      <w:r>
        <w:rPr>
          <w:highlight w:val="none"/>
          <w:u w:val="single"/>
        </w:rPr>
        <w:t xml:space="preserve">实  </w:t>
      </w:r>
      <w:r>
        <w:rPr>
          <w:rFonts w:hint="eastAsia"/>
          <w:highlight w:val="none"/>
          <w:u w:val="single"/>
          <w:lang w:val="en-US" w:eastAsia="zh-CN"/>
        </w:rPr>
        <w:t xml:space="preserve"> </w:t>
      </w:r>
      <w:r>
        <w:rPr>
          <w:highlight w:val="none"/>
          <w:u w:val="single"/>
        </w:rPr>
        <w:t xml:space="preserve">    </w:t>
      </w:r>
      <w:r>
        <w:rPr>
          <w:highlight w:val="none"/>
        </w:rPr>
        <w:t>。</w:t>
      </w:r>
    </w:p>
    <w:p>
      <w:pPr>
        <w:pStyle w:val="6"/>
        <w:spacing w:before="132"/>
        <w:ind w:left="654"/>
        <w:rPr>
          <w:highlight w:val="none"/>
        </w:rPr>
      </w:pPr>
      <w:r>
        <w:rPr>
          <w:highlight w:val="none"/>
        </w:rPr>
        <w:t>（二）投标费用</w:t>
      </w:r>
    </w:p>
    <w:p>
      <w:pPr>
        <w:pStyle w:val="6"/>
        <w:spacing w:before="129" w:line="357" w:lineRule="auto"/>
        <w:ind w:left="802" w:right="1542" w:firstLine="314"/>
      </w:pPr>
      <w:r>
        <w:rPr>
          <w:highlight w:val="none"/>
        </w:rPr>
        <w:t>不管投标结果如何，承包人应承担其编</w:t>
      </w:r>
      <w:r>
        <w:t>制投标文件与递交投标文件所涉及的一切费用。</w:t>
      </w:r>
    </w:p>
    <w:p>
      <w:pPr>
        <w:pStyle w:val="6"/>
        <w:spacing w:line="269" w:lineRule="exact"/>
        <w:ind w:left="654"/>
      </w:pPr>
      <w:r>
        <w:t>（三）本工程不接受联合体投标。</w:t>
      </w:r>
    </w:p>
    <w:p>
      <w:pPr>
        <w:pStyle w:val="2"/>
        <w:spacing w:before="129"/>
        <w:ind w:left="0" w:right="1093"/>
        <w:jc w:val="center"/>
      </w:pPr>
      <w:r>
        <w:t>二、招标文件</w:t>
      </w:r>
    </w:p>
    <w:p>
      <w:pPr>
        <w:pStyle w:val="6"/>
        <w:spacing w:before="133"/>
        <w:ind w:right="6873"/>
        <w:jc w:val="center"/>
      </w:pPr>
      <w:r>
        <w:t>（四）招标文件的组成</w:t>
      </w:r>
    </w:p>
    <w:p>
      <w:pPr>
        <w:pStyle w:val="6"/>
        <w:spacing w:before="131"/>
        <w:ind w:left="862"/>
      </w:pPr>
      <w:r>
        <w:t>1、招标文件包括本文件及所有按第(五)、（六）条发出的修改澄清通知。</w:t>
      </w:r>
    </w:p>
    <w:p>
      <w:pPr>
        <w:pStyle w:val="6"/>
        <w:spacing w:before="130" w:line="357" w:lineRule="auto"/>
        <w:ind w:left="442" w:right="1541" w:firstLine="419"/>
      </w:pPr>
      <w:r>
        <w:t>2、承包人应认真审阅招标文件所有的内容，如果承包人的投标文件不能实质性地响应招标文件要求，责任由承包人自负。</w:t>
      </w:r>
    </w:p>
    <w:p>
      <w:pPr>
        <w:pStyle w:val="6"/>
        <w:spacing w:line="269" w:lineRule="exact"/>
        <w:ind w:left="682"/>
      </w:pPr>
      <w:r>
        <w:t>（五）招标文件的澄清</w:t>
      </w:r>
    </w:p>
    <w:p>
      <w:pPr>
        <w:pStyle w:val="6"/>
        <w:spacing w:before="129"/>
        <w:ind w:left="862"/>
        <w:rPr>
          <w:highlight w:val="none"/>
        </w:rPr>
      </w:pPr>
      <w:r>
        <w:rPr>
          <w:highlight w:val="none"/>
        </w:rPr>
        <w:t>1、本工程招标文件的澄清采用下列第</w:t>
      </w:r>
      <w:r>
        <w:rPr>
          <w:b/>
          <w:highlight w:val="none"/>
          <w:u w:val="single"/>
        </w:rPr>
        <w:t>（1）</w:t>
      </w:r>
      <w:r>
        <w:rPr>
          <w:highlight w:val="none"/>
        </w:rPr>
        <w:t>种方式：</w:t>
      </w:r>
    </w:p>
    <w:p>
      <w:pPr>
        <w:pStyle w:val="20"/>
        <w:numPr>
          <w:ilvl w:val="0"/>
          <w:numId w:val="2"/>
        </w:numPr>
        <w:tabs>
          <w:tab w:val="left" w:pos="1181"/>
          <w:tab w:val="left" w:pos="2336"/>
        </w:tabs>
        <w:spacing w:before="132" w:line="357" w:lineRule="auto"/>
        <w:ind w:right="1541" w:firstLine="419"/>
        <w:rPr>
          <w:sz w:val="21"/>
          <w:highlight w:val="none"/>
        </w:rPr>
      </w:pPr>
      <w:r>
        <w:rPr>
          <w:spacing w:val="-3"/>
          <w:sz w:val="21"/>
          <w:highlight w:val="none"/>
        </w:rPr>
        <w:t>承</w:t>
      </w:r>
      <w:r>
        <w:rPr>
          <w:sz w:val="21"/>
          <w:highlight w:val="none"/>
        </w:rPr>
        <w:t>包</w:t>
      </w:r>
      <w:r>
        <w:rPr>
          <w:spacing w:val="-3"/>
          <w:sz w:val="21"/>
          <w:highlight w:val="none"/>
        </w:rPr>
        <w:t>人</w:t>
      </w:r>
      <w:r>
        <w:rPr>
          <w:sz w:val="21"/>
          <w:highlight w:val="none"/>
        </w:rPr>
        <w:t>在</w:t>
      </w:r>
      <w:r>
        <w:rPr>
          <w:spacing w:val="-3"/>
          <w:sz w:val="21"/>
          <w:highlight w:val="none"/>
        </w:rPr>
        <w:t>收</w:t>
      </w:r>
      <w:r>
        <w:rPr>
          <w:sz w:val="21"/>
          <w:highlight w:val="none"/>
        </w:rPr>
        <w:t>到</w:t>
      </w:r>
      <w:r>
        <w:rPr>
          <w:spacing w:val="-3"/>
          <w:sz w:val="21"/>
          <w:highlight w:val="none"/>
        </w:rPr>
        <w:t>招</w:t>
      </w:r>
      <w:r>
        <w:rPr>
          <w:sz w:val="21"/>
          <w:highlight w:val="none"/>
        </w:rPr>
        <w:t>标</w:t>
      </w:r>
      <w:r>
        <w:rPr>
          <w:spacing w:val="-3"/>
          <w:sz w:val="21"/>
          <w:highlight w:val="none"/>
        </w:rPr>
        <w:t>文件</w:t>
      </w:r>
      <w:r>
        <w:rPr>
          <w:sz w:val="21"/>
          <w:highlight w:val="none"/>
        </w:rPr>
        <w:t>（含</w:t>
      </w:r>
      <w:r>
        <w:rPr>
          <w:spacing w:val="-3"/>
          <w:sz w:val="21"/>
          <w:highlight w:val="none"/>
        </w:rPr>
        <w:t>工</w:t>
      </w:r>
      <w:r>
        <w:rPr>
          <w:sz w:val="21"/>
          <w:highlight w:val="none"/>
        </w:rPr>
        <w:t>程</w:t>
      </w:r>
      <w:r>
        <w:rPr>
          <w:spacing w:val="-3"/>
          <w:sz w:val="21"/>
          <w:highlight w:val="none"/>
        </w:rPr>
        <w:t>量</w:t>
      </w:r>
      <w:r>
        <w:rPr>
          <w:sz w:val="21"/>
          <w:highlight w:val="none"/>
        </w:rPr>
        <w:t>清</w:t>
      </w:r>
      <w:r>
        <w:rPr>
          <w:spacing w:val="-3"/>
          <w:sz w:val="21"/>
          <w:highlight w:val="none"/>
        </w:rPr>
        <w:t>单</w:t>
      </w:r>
      <w:r>
        <w:rPr>
          <w:sz w:val="21"/>
          <w:highlight w:val="none"/>
        </w:rPr>
        <w:t>）</w:t>
      </w:r>
      <w:r>
        <w:rPr>
          <w:spacing w:val="-3"/>
          <w:sz w:val="21"/>
          <w:highlight w:val="none"/>
        </w:rPr>
        <w:t>和</w:t>
      </w:r>
      <w:r>
        <w:rPr>
          <w:sz w:val="21"/>
          <w:highlight w:val="none"/>
        </w:rPr>
        <w:t>踏</w:t>
      </w:r>
      <w:r>
        <w:rPr>
          <w:spacing w:val="-3"/>
          <w:sz w:val="21"/>
          <w:highlight w:val="none"/>
        </w:rPr>
        <w:t>勘</w:t>
      </w:r>
      <w:r>
        <w:rPr>
          <w:sz w:val="21"/>
          <w:highlight w:val="none"/>
        </w:rPr>
        <w:t>现场</w:t>
      </w:r>
      <w:r>
        <w:rPr>
          <w:spacing w:val="-3"/>
          <w:sz w:val="21"/>
          <w:highlight w:val="none"/>
        </w:rPr>
        <w:t>后</w:t>
      </w:r>
      <w:r>
        <w:rPr>
          <w:sz w:val="21"/>
          <w:highlight w:val="none"/>
        </w:rPr>
        <w:t>，</w:t>
      </w:r>
      <w:r>
        <w:rPr>
          <w:spacing w:val="-3"/>
          <w:sz w:val="21"/>
          <w:highlight w:val="none"/>
        </w:rPr>
        <w:t>若</w:t>
      </w:r>
      <w:r>
        <w:rPr>
          <w:sz w:val="21"/>
          <w:highlight w:val="none"/>
        </w:rPr>
        <w:t>有</w:t>
      </w:r>
      <w:r>
        <w:rPr>
          <w:spacing w:val="-3"/>
          <w:sz w:val="21"/>
          <w:highlight w:val="none"/>
        </w:rPr>
        <w:t>疑</w:t>
      </w:r>
      <w:r>
        <w:rPr>
          <w:sz w:val="21"/>
          <w:highlight w:val="none"/>
        </w:rPr>
        <w:t>问</w:t>
      </w:r>
      <w:r>
        <w:rPr>
          <w:spacing w:val="-3"/>
          <w:sz w:val="21"/>
          <w:highlight w:val="none"/>
        </w:rPr>
        <w:t>需</w:t>
      </w:r>
      <w:r>
        <w:rPr>
          <w:sz w:val="21"/>
          <w:highlight w:val="none"/>
        </w:rPr>
        <w:t>要</w:t>
      </w:r>
      <w:r>
        <w:rPr>
          <w:spacing w:val="-3"/>
          <w:sz w:val="21"/>
          <w:highlight w:val="none"/>
        </w:rPr>
        <w:t>澄</w:t>
      </w:r>
      <w:r>
        <w:rPr>
          <w:sz w:val="21"/>
          <w:highlight w:val="none"/>
        </w:rPr>
        <w:t>清，</w:t>
      </w:r>
      <w:r>
        <w:rPr>
          <w:spacing w:val="-3"/>
          <w:sz w:val="21"/>
          <w:highlight w:val="none"/>
        </w:rPr>
        <w:t>应</w:t>
      </w:r>
      <w:r>
        <w:rPr>
          <w:sz w:val="21"/>
          <w:highlight w:val="none"/>
        </w:rPr>
        <w:t>于收到</w:t>
      </w:r>
      <w:r>
        <w:rPr>
          <w:spacing w:val="-3"/>
          <w:sz w:val="21"/>
          <w:highlight w:val="none"/>
        </w:rPr>
        <w:t>招</w:t>
      </w:r>
      <w:r>
        <w:rPr>
          <w:sz w:val="21"/>
          <w:highlight w:val="none"/>
        </w:rPr>
        <w:t>标</w:t>
      </w:r>
      <w:r>
        <w:rPr>
          <w:spacing w:val="-3"/>
          <w:sz w:val="21"/>
          <w:highlight w:val="none"/>
        </w:rPr>
        <w:t>文</w:t>
      </w:r>
      <w:r>
        <w:rPr>
          <w:sz w:val="21"/>
          <w:highlight w:val="none"/>
        </w:rPr>
        <w:t>件</w:t>
      </w:r>
      <w:r>
        <w:rPr>
          <w:spacing w:val="-3"/>
          <w:sz w:val="21"/>
          <w:highlight w:val="none"/>
        </w:rPr>
        <w:t>后</w:t>
      </w:r>
      <w:r>
        <w:rPr>
          <w:rFonts w:hint="eastAsia"/>
          <w:b/>
          <w:sz w:val="21"/>
          <w:highlight w:val="none"/>
          <w:u w:val="single"/>
          <w:lang w:val="en-US"/>
        </w:rPr>
        <w:t>1</w:t>
      </w:r>
      <w:r>
        <w:rPr>
          <w:b/>
          <w:sz w:val="21"/>
          <w:highlight w:val="none"/>
          <w:u w:val="single"/>
        </w:rPr>
        <w:tab/>
      </w:r>
      <w:r>
        <w:rPr>
          <w:sz w:val="21"/>
          <w:highlight w:val="none"/>
        </w:rPr>
        <w:t>日</w:t>
      </w:r>
      <w:r>
        <w:rPr>
          <w:spacing w:val="-3"/>
          <w:sz w:val="21"/>
          <w:highlight w:val="none"/>
        </w:rPr>
        <w:t>内</w:t>
      </w:r>
      <w:r>
        <w:rPr>
          <w:sz w:val="21"/>
          <w:highlight w:val="none"/>
        </w:rPr>
        <w:t>以书</w:t>
      </w:r>
      <w:r>
        <w:rPr>
          <w:spacing w:val="-3"/>
          <w:sz w:val="21"/>
          <w:highlight w:val="none"/>
        </w:rPr>
        <w:t>面</w:t>
      </w:r>
      <w:r>
        <w:rPr>
          <w:sz w:val="21"/>
          <w:highlight w:val="none"/>
        </w:rPr>
        <w:t>形</w:t>
      </w:r>
      <w:r>
        <w:rPr>
          <w:spacing w:val="-3"/>
          <w:sz w:val="21"/>
          <w:highlight w:val="none"/>
        </w:rPr>
        <w:t>式</w:t>
      </w:r>
      <w:r>
        <w:rPr>
          <w:sz w:val="21"/>
          <w:highlight w:val="none"/>
        </w:rPr>
        <w:t>（</w:t>
      </w:r>
      <w:r>
        <w:rPr>
          <w:spacing w:val="-3"/>
          <w:sz w:val="21"/>
          <w:highlight w:val="none"/>
        </w:rPr>
        <w:t>包</w:t>
      </w:r>
      <w:r>
        <w:rPr>
          <w:sz w:val="21"/>
          <w:highlight w:val="none"/>
        </w:rPr>
        <w:t>括</w:t>
      </w:r>
      <w:r>
        <w:rPr>
          <w:spacing w:val="-3"/>
          <w:sz w:val="21"/>
          <w:highlight w:val="none"/>
        </w:rPr>
        <w:t>书</w:t>
      </w:r>
      <w:r>
        <w:rPr>
          <w:sz w:val="21"/>
          <w:highlight w:val="none"/>
        </w:rPr>
        <w:t>面</w:t>
      </w:r>
      <w:r>
        <w:rPr>
          <w:spacing w:val="-3"/>
          <w:sz w:val="21"/>
          <w:highlight w:val="none"/>
        </w:rPr>
        <w:t>文</w:t>
      </w:r>
      <w:r>
        <w:rPr>
          <w:sz w:val="21"/>
          <w:highlight w:val="none"/>
        </w:rPr>
        <w:t>字、</w:t>
      </w:r>
      <w:r>
        <w:rPr>
          <w:spacing w:val="-3"/>
          <w:sz w:val="21"/>
          <w:highlight w:val="none"/>
        </w:rPr>
        <w:t>传</w:t>
      </w:r>
      <w:r>
        <w:rPr>
          <w:sz w:val="21"/>
          <w:highlight w:val="none"/>
        </w:rPr>
        <w:t>真</w:t>
      </w:r>
      <w:r>
        <w:rPr>
          <w:spacing w:val="-3"/>
          <w:sz w:val="21"/>
          <w:highlight w:val="none"/>
        </w:rPr>
        <w:t>、</w:t>
      </w:r>
      <w:r>
        <w:rPr>
          <w:sz w:val="21"/>
          <w:highlight w:val="none"/>
        </w:rPr>
        <w:t>电</w:t>
      </w:r>
      <w:r>
        <w:rPr>
          <w:spacing w:val="-3"/>
          <w:sz w:val="21"/>
          <w:highlight w:val="none"/>
        </w:rPr>
        <w:t>子</w:t>
      </w:r>
      <w:r>
        <w:rPr>
          <w:sz w:val="21"/>
          <w:highlight w:val="none"/>
        </w:rPr>
        <w:t>邮</w:t>
      </w:r>
      <w:r>
        <w:rPr>
          <w:spacing w:val="-3"/>
          <w:sz w:val="21"/>
          <w:highlight w:val="none"/>
        </w:rPr>
        <w:t>件</w:t>
      </w:r>
      <w:r>
        <w:rPr>
          <w:sz w:val="21"/>
          <w:highlight w:val="none"/>
        </w:rPr>
        <w:t>等</w:t>
      </w:r>
      <w:r>
        <w:rPr>
          <w:spacing w:val="-3"/>
          <w:sz w:val="21"/>
          <w:highlight w:val="none"/>
        </w:rPr>
        <w:t>）</w:t>
      </w:r>
      <w:r>
        <w:rPr>
          <w:sz w:val="21"/>
          <w:highlight w:val="none"/>
        </w:rPr>
        <w:t>向招</w:t>
      </w:r>
      <w:r>
        <w:rPr>
          <w:spacing w:val="-3"/>
          <w:sz w:val="21"/>
          <w:highlight w:val="none"/>
        </w:rPr>
        <w:t>标</w:t>
      </w:r>
      <w:r>
        <w:rPr>
          <w:sz w:val="21"/>
          <w:highlight w:val="none"/>
        </w:rPr>
        <w:t>人提  出，</w:t>
      </w:r>
      <w:r>
        <w:rPr>
          <w:spacing w:val="-3"/>
          <w:sz w:val="21"/>
          <w:highlight w:val="none"/>
        </w:rPr>
        <w:t>招</w:t>
      </w:r>
      <w:r>
        <w:rPr>
          <w:sz w:val="21"/>
          <w:highlight w:val="none"/>
        </w:rPr>
        <w:t>标</w:t>
      </w:r>
      <w:r>
        <w:rPr>
          <w:spacing w:val="-3"/>
          <w:sz w:val="21"/>
          <w:highlight w:val="none"/>
        </w:rPr>
        <w:t>人</w:t>
      </w:r>
      <w:r>
        <w:rPr>
          <w:sz w:val="21"/>
          <w:highlight w:val="none"/>
        </w:rPr>
        <w:t>将</w:t>
      </w:r>
      <w:r>
        <w:rPr>
          <w:spacing w:val="-3"/>
          <w:sz w:val="21"/>
          <w:highlight w:val="none"/>
        </w:rPr>
        <w:t>以</w:t>
      </w:r>
      <w:r>
        <w:rPr>
          <w:sz w:val="21"/>
          <w:highlight w:val="none"/>
        </w:rPr>
        <w:t>书</w:t>
      </w:r>
      <w:r>
        <w:rPr>
          <w:spacing w:val="-3"/>
          <w:sz w:val="21"/>
          <w:highlight w:val="none"/>
        </w:rPr>
        <w:t>面</w:t>
      </w:r>
      <w:r>
        <w:rPr>
          <w:sz w:val="21"/>
          <w:highlight w:val="none"/>
        </w:rPr>
        <w:t>形</w:t>
      </w:r>
      <w:r>
        <w:rPr>
          <w:spacing w:val="-3"/>
          <w:sz w:val="21"/>
          <w:highlight w:val="none"/>
        </w:rPr>
        <w:t>式</w:t>
      </w:r>
      <w:r>
        <w:rPr>
          <w:sz w:val="21"/>
          <w:highlight w:val="none"/>
        </w:rPr>
        <w:t>予以</w:t>
      </w:r>
      <w:r>
        <w:rPr>
          <w:spacing w:val="-3"/>
          <w:sz w:val="21"/>
          <w:highlight w:val="none"/>
        </w:rPr>
        <w:t>解</w:t>
      </w:r>
      <w:r>
        <w:rPr>
          <w:sz w:val="21"/>
          <w:highlight w:val="none"/>
        </w:rPr>
        <w:t>答。</w:t>
      </w:r>
    </w:p>
    <w:p>
      <w:pPr>
        <w:pStyle w:val="20"/>
        <w:numPr>
          <w:ilvl w:val="0"/>
          <w:numId w:val="2"/>
        </w:numPr>
        <w:tabs>
          <w:tab w:val="left" w:pos="1203"/>
        </w:tabs>
        <w:spacing w:line="357" w:lineRule="auto"/>
        <w:ind w:left="570" w:right="1572" w:firstLine="314"/>
        <w:rPr>
          <w:sz w:val="21"/>
        </w:rPr>
      </w:pPr>
      <w:r>
        <w:rPr>
          <w:spacing w:val="-4"/>
          <w:sz w:val="21"/>
          <w:highlight w:val="none"/>
        </w:rPr>
        <w:t xml:space="preserve">承包人在收到招标文件和踏勘现场后，若有疑问需要澄清，应于收到招标文件后 </w:t>
      </w:r>
      <w:r>
        <w:rPr>
          <w:sz w:val="21"/>
          <w:highlight w:val="none"/>
        </w:rPr>
        <w:t xml:space="preserve">2 </w:t>
      </w:r>
      <w:r>
        <w:rPr>
          <w:spacing w:val="-3"/>
          <w:sz w:val="21"/>
          <w:highlight w:val="none"/>
        </w:rPr>
        <w:t>日内以书面形式</w:t>
      </w:r>
      <w:r>
        <w:rPr>
          <w:sz w:val="21"/>
          <w:highlight w:val="none"/>
        </w:rPr>
        <w:t>（</w:t>
      </w:r>
      <w:r>
        <w:rPr>
          <w:spacing w:val="-3"/>
          <w:sz w:val="21"/>
          <w:highlight w:val="none"/>
        </w:rPr>
        <w:t>包括书面文字、传真、电子邮件等</w:t>
      </w:r>
      <w:r>
        <w:rPr>
          <w:sz w:val="21"/>
          <w:highlight w:val="none"/>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6"/>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6"/>
        <w:ind w:left="654"/>
      </w:pPr>
      <w:r>
        <w:t>（六）招标文件的修改</w:t>
      </w:r>
    </w:p>
    <w:p>
      <w:pPr>
        <w:pStyle w:val="6"/>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6"/>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6"/>
        <w:spacing w:line="266" w:lineRule="exact"/>
        <w:ind w:left="862"/>
      </w:pPr>
      <w:r>
        <w:t>3、当招标文件、修改通知内容相互矛盾时，以后发出的通知为准。</w:t>
      </w:r>
    </w:p>
    <w:p>
      <w:pPr>
        <w:pStyle w:val="2"/>
        <w:spacing w:before="131"/>
        <w:ind w:left="3961"/>
      </w:pPr>
      <w:r>
        <w:t>三、投标报价</w:t>
      </w:r>
    </w:p>
    <w:p>
      <w:pPr>
        <w:pStyle w:val="6"/>
        <w:spacing w:before="132"/>
        <w:ind w:left="654"/>
      </w:pPr>
      <w:r>
        <w:t>（七）投标报价</w:t>
      </w:r>
    </w:p>
    <w:p>
      <w:pPr>
        <w:pStyle w:val="6"/>
        <w:spacing w:before="129"/>
        <w:ind w:left="884"/>
      </w:pPr>
      <w:r>
        <w:t>1、本工程采用工程量清单综合单价计价。</w:t>
      </w:r>
    </w:p>
    <w:p>
      <w:pPr>
        <w:pStyle w:val="6"/>
        <w:spacing w:before="132" w:line="357" w:lineRule="auto"/>
        <w:ind w:left="570" w:right="2359" w:firstLine="314"/>
      </w:pPr>
      <w:r>
        <w:t>2、本工程工程量清单综合单价的编制应按《建设工程工程量清单计价规范》(GB50500-2013)要求执行。</w:t>
      </w:r>
    </w:p>
    <w:p>
      <w:pPr>
        <w:pStyle w:val="6"/>
        <w:spacing w:line="267" w:lineRule="exact"/>
        <w:ind w:left="884"/>
      </w:pPr>
      <w:r>
        <w:t>3、投标报价的编制要求：</w:t>
      </w:r>
    </w:p>
    <w:p>
      <w:pPr>
        <w:pStyle w:val="6"/>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6"/>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57" w:lineRule="auto"/>
        <w:ind w:left="570" w:right="1622" w:firstLine="314"/>
      </w:pPr>
      <w:r>
        <w:t>⑦其他项目清单中的暂列金额等项目费均为估算、预测算，虽在投标时计入承包人的报价中，但不应视为承包人所有。</w:t>
      </w:r>
    </w:p>
    <w:p>
      <w:pPr>
        <w:pStyle w:val="6"/>
        <w:spacing w:line="357" w:lineRule="auto"/>
        <w:ind w:left="570" w:right="1622" w:firstLine="314"/>
      </w:pPr>
      <w:r>
        <w:rPr>
          <w:spacing w:val="-3"/>
        </w:rPr>
        <w:t>⑧各工种</w:t>
      </w:r>
      <w:r>
        <w:rPr>
          <w:spacing w:val="-3"/>
          <w:highlight w:val="none"/>
        </w:rPr>
        <w:t>、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6"/>
        <w:spacing w:before="49"/>
        <w:ind w:left="884"/>
      </w:pPr>
      <w:r>
        <w:t>4、工程中的材料：</w:t>
      </w:r>
    </w:p>
    <w:p>
      <w:pPr>
        <w:pStyle w:val="6"/>
        <w:spacing w:before="131"/>
        <w:ind w:left="884"/>
      </w:pPr>
      <w:r>
        <w:t>①甲供材、暂定价的材料按（如有）给定的价格进行报价；</w:t>
      </w:r>
    </w:p>
    <w:p>
      <w:pPr>
        <w:pStyle w:val="6"/>
        <w:spacing w:before="130"/>
        <w:ind w:left="884"/>
      </w:pPr>
      <w:r>
        <w:t>②有指定品牌的，按其品牌进行报价。</w:t>
      </w:r>
    </w:p>
    <w:p>
      <w:pPr>
        <w:pStyle w:val="6"/>
        <w:spacing w:before="131" w:line="357" w:lineRule="auto"/>
        <w:ind w:left="884" w:right="6454"/>
      </w:pPr>
      <w:r>
        <w:t>③其它材料由承包人自行报价。6、招标控制价的说明：</w:t>
      </w:r>
    </w:p>
    <w:p>
      <w:pPr>
        <w:pStyle w:val="20"/>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20"/>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2"/>
        <w:tabs>
          <w:tab w:val="left" w:pos="4067"/>
        </w:tabs>
        <w:spacing w:before="128"/>
        <w:ind w:left="3645"/>
      </w:pPr>
      <w:r>
        <w:t>四</w:t>
      </w:r>
      <w:r>
        <w:tab/>
      </w:r>
      <w:r>
        <w:t>投标文件的编制</w:t>
      </w:r>
    </w:p>
    <w:p>
      <w:pPr>
        <w:pStyle w:val="6"/>
        <w:spacing w:before="131"/>
        <w:ind w:left="884"/>
      </w:pPr>
      <w:r>
        <w:t>（八）投标文件的组成</w:t>
      </w:r>
    </w:p>
    <w:p>
      <w:pPr>
        <w:pStyle w:val="6"/>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6"/>
        <w:spacing w:line="266" w:lineRule="exact"/>
        <w:ind w:left="884"/>
      </w:pPr>
      <w:r>
        <w:t>2、承包人的投标文件应包括下列内容：</w:t>
      </w:r>
    </w:p>
    <w:p>
      <w:pPr>
        <w:pStyle w:val="20"/>
        <w:numPr>
          <w:ilvl w:val="0"/>
          <w:numId w:val="4"/>
        </w:numPr>
        <w:tabs>
          <w:tab w:val="left" w:pos="1203"/>
        </w:tabs>
        <w:spacing w:before="129"/>
        <w:ind w:hanging="319"/>
        <w:rPr>
          <w:sz w:val="21"/>
        </w:rPr>
      </w:pPr>
      <w:r>
        <w:rPr>
          <w:spacing w:val="-2"/>
          <w:sz w:val="21"/>
        </w:rPr>
        <w:t>投标函</w:t>
      </w:r>
    </w:p>
    <w:p>
      <w:pPr>
        <w:pStyle w:val="20"/>
        <w:numPr>
          <w:ilvl w:val="0"/>
          <w:numId w:val="4"/>
        </w:numPr>
        <w:tabs>
          <w:tab w:val="left" w:pos="1203"/>
        </w:tabs>
        <w:spacing w:before="133"/>
        <w:ind w:hanging="319"/>
        <w:rPr>
          <w:sz w:val="21"/>
        </w:rPr>
      </w:pPr>
      <w:r>
        <w:rPr>
          <w:spacing w:val="-3"/>
          <w:sz w:val="21"/>
        </w:rPr>
        <w:t>法定代表人资格证明书</w:t>
      </w:r>
    </w:p>
    <w:p>
      <w:pPr>
        <w:pStyle w:val="20"/>
        <w:numPr>
          <w:ilvl w:val="0"/>
          <w:numId w:val="4"/>
        </w:numPr>
        <w:tabs>
          <w:tab w:val="left" w:pos="1203"/>
        </w:tabs>
        <w:spacing w:before="131"/>
        <w:ind w:hanging="319"/>
        <w:rPr>
          <w:sz w:val="21"/>
        </w:rPr>
      </w:pPr>
      <w:r>
        <w:rPr>
          <w:spacing w:val="-3"/>
          <w:sz w:val="21"/>
        </w:rPr>
        <w:t>法定代表人委托代理人的委托书</w:t>
      </w:r>
    </w:p>
    <w:p>
      <w:pPr>
        <w:pStyle w:val="20"/>
        <w:numPr>
          <w:ilvl w:val="0"/>
          <w:numId w:val="4"/>
        </w:numPr>
        <w:tabs>
          <w:tab w:val="left" w:pos="1203"/>
        </w:tabs>
        <w:spacing w:before="130"/>
        <w:ind w:hanging="319"/>
        <w:rPr>
          <w:sz w:val="21"/>
        </w:rPr>
      </w:pPr>
      <w:r>
        <w:rPr>
          <w:spacing w:val="-3"/>
          <w:sz w:val="21"/>
        </w:rPr>
        <w:t>投标报价汇总表及其它报价表</w:t>
      </w:r>
    </w:p>
    <w:p>
      <w:pPr>
        <w:pStyle w:val="6"/>
        <w:spacing w:before="131" w:line="357" w:lineRule="auto"/>
        <w:ind w:left="990" w:right="5614" w:hanging="106"/>
      </w:pPr>
      <w:r>
        <w:t>（九）投标保证金：详见投标须知前附表(十) 勘察现场</w:t>
      </w:r>
    </w:p>
    <w:p>
      <w:pPr>
        <w:pStyle w:val="6"/>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6"/>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6"/>
        <w:spacing w:before="1"/>
        <w:ind w:left="884"/>
      </w:pPr>
      <w:r>
        <w:t>（十一）投标文件的份数和签署</w:t>
      </w:r>
    </w:p>
    <w:p>
      <w:pPr>
        <w:pStyle w:val="6"/>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6"/>
        <w:spacing w:before="2"/>
        <w:ind w:left="884"/>
      </w:pPr>
      <w:r>
        <w:t>2、全套投标文件应无涂改和行间插字，除非这些删改是根据招标人的指示进行的，</w:t>
      </w:r>
    </w:p>
    <w:p>
      <w:pPr>
        <w:pStyle w:val="6"/>
        <w:spacing w:before="132"/>
        <w:ind w:left="570"/>
      </w:pPr>
      <w:r>
        <w:t>或者是承包人造成的必须修改的错误。修改处应由投标文件签署人加盖印鉴。</w:t>
      </w:r>
    </w:p>
    <w:p>
      <w:pPr>
        <w:pStyle w:val="2"/>
        <w:spacing w:before="131"/>
        <w:ind w:left="3645"/>
      </w:pPr>
      <w:r>
        <w:t>五、投标文件的递交</w:t>
      </w:r>
    </w:p>
    <w:p>
      <w:pPr>
        <w:pStyle w:val="6"/>
        <w:spacing w:before="132"/>
        <w:ind w:left="862"/>
      </w:pPr>
      <w:r>
        <w:t>（十二）投标文件的密封与标志</w:t>
      </w:r>
    </w:p>
    <w:p>
      <w:pPr>
        <w:pStyle w:val="6"/>
        <w:spacing w:before="130"/>
        <w:ind w:left="862"/>
      </w:pPr>
      <w:r>
        <w:t>1、密封：承包人必须按前附表要求的份数将投标文件密封提交，并在封袋骑缝密封处</w:t>
      </w:r>
    </w:p>
    <w:p>
      <w:pPr>
        <w:pStyle w:val="6"/>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6"/>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6"/>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6"/>
        <w:spacing w:line="266" w:lineRule="exact"/>
        <w:ind w:left="862"/>
      </w:pPr>
      <w:r>
        <w:t>未按上述规定编制、密封、标志所递交的投标文件招标人有权拒绝。</w:t>
      </w:r>
    </w:p>
    <w:p>
      <w:pPr>
        <w:pStyle w:val="6"/>
        <w:spacing w:before="129"/>
        <w:ind w:left="862"/>
      </w:pPr>
      <w:r>
        <w:t>（十三）投标截止期</w:t>
      </w:r>
    </w:p>
    <w:p>
      <w:pPr>
        <w:pStyle w:val="6"/>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6"/>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266" w:lineRule="exact"/>
        <w:ind w:left="862"/>
      </w:pPr>
      <w:r>
        <w:t>3</w:t>
      </w:r>
      <w:r>
        <w:rPr>
          <w:spacing w:val="-3"/>
        </w:rPr>
        <w:t>、超过投标截止期送达的投标文件将被拒绝并原封退给承包人。</w:t>
      </w:r>
    </w:p>
    <w:p>
      <w:pPr>
        <w:pStyle w:val="6"/>
        <w:spacing w:before="131"/>
        <w:ind w:left="862"/>
      </w:pPr>
      <w:r>
        <w:t>4</w:t>
      </w:r>
      <w:r>
        <w:rPr>
          <w:spacing w:val="-3"/>
        </w:rPr>
        <w:t>、提交投标文件的承包人少于三个的，招标人将依法重新招标。</w:t>
      </w:r>
    </w:p>
    <w:p>
      <w:pPr>
        <w:pStyle w:val="6"/>
        <w:spacing w:before="130"/>
        <w:ind w:left="862"/>
      </w:pPr>
      <w:r>
        <w:t>（十四）投标文件的修改与撤回</w:t>
      </w:r>
    </w:p>
    <w:p>
      <w:pPr>
        <w:pStyle w:val="6"/>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57" w:lineRule="auto"/>
        <w:ind w:left="442" w:right="1663" w:firstLine="400"/>
      </w:pPr>
      <w:r>
        <w:t>3、投标截止以后,在投标有效期内，承包人不得撤回投标文件，否则其投标保证金将被没收。</w:t>
      </w:r>
    </w:p>
    <w:p>
      <w:pPr>
        <w:pStyle w:val="2"/>
        <w:tabs>
          <w:tab w:val="left" w:pos="5015"/>
        </w:tabs>
        <w:spacing w:line="262" w:lineRule="exact"/>
        <w:ind w:left="3959"/>
      </w:pPr>
      <w:r>
        <w:t>六、开</w:t>
      </w:r>
      <w:r>
        <w:tab/>
      </w:r>
      <w:r>
        <w:t>标</w:t>
      </w:r>
    </w:p>
    <w:p>
      <w:pPr>
        <w:pStyle w:val="6"/>
        <w:spacing w:before="131"/>
        <w:ind w:left="862"/>
      </w:pPr>
      <w:r>
        <w:t>（十五）开标</w:t>
      </w:r>
    </w:p>
    <w:p>
      <w:pPr>
        <w:pStyle w:val="6"/>
        <w:spacing w:before="132"/>
        <w:ind w:left="862"/>
      </w:pPr>
      <w:r>
        <w:t>1、开标由招标人或其委托的招标代理机构人员主持，邀请所有承包人参加。</w:t>
      </w:r>
    </w:p>
    <w:p>
      <w:pPr>
        <w:pStyle w:val="6"/>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57" w:lineRule="auto"/>
        <w:ind w:left="442" w:right="1538" w:firstLine="419"/>
      </w:pPr>
      <w:r>
        <w:t>3、招标人在招标文件要求提交投标文件的截止时间前收到的所有投标文件，开标时都将当众予以拆封、宣读、记录。</w:t>
      </w:r>
    </w:p>
    <w:p>
      <w:pPr>
        <w:pStyle w:val="6"/>
        <w:spacing w:line="267" w:lineRule="exact"/>
        <w:ind w:left="843"/>
      </w:pPr>
      <w:r>
        <w:t>4、唱标顺序按各承包人送达投标文件时间先后的逆顺序进行。</w:t>
      </w:r>
    </w:p>
    <w:p>
      <w:pPr>
        <w:pStyle w:val="6"/>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20"/>
        <w:numPr>
          <w:ilvl w:val="0"/>
          <w:numId w:val="5"/>
        </w:numPr>
        <w:tabs>
          <w:tab w:val="left" w:pos="1181"/>
        </w:tabs>
        <w:spacing w:before="49"/>
        <w:ind w:hanging="319"/>
        <w:rPr>
          <w:b w:val="0"/>
          <w:bCs w:val="0"/>
          <w:sz w:val="21"/>
        </w:rPr>
      </w:pPr>
      <w:r>
        <w:rPr>
          <w:b w:val="0"/>
          <w:bCs w:val="0"/>
          <w:spacing w:val="-3"/>
          <w:sz w:val="21"/>
        </w:rPr>
        <w:t>逾期送达的或未送达指定地点的；</w:t>
      </w:r>
    </w:p>
    <w:p>
      <w:pPr>
        <w:pStyle w:val="20"/>
        <w:numPr>
          <w:ilvl w:val="0"/>
          <w:numId w:val="5"/>
        </w:numPr>
        <w:tabs>
          <w:tab w:val="left" w:pos="1181"/>
        </w:tabs>
        <w:spacing w:before="131" w:line="357" w:lineRule="auto"/>
        <w:ind w:left="862" w:right="5112" w:firstLine="0"/>
        <w:jc w:val="both"/>
        <w:rPr>
          <w:b w:val="0"/>
          <w:bCs w:val="0"/>
          <w:sz w:val="21"/>
        </w:rPr>
      </w:pPr>
      <w:r>
        <w:rPr>
          <w:b w:val="0"/>
          <w:bCs w:val="0"/>
          <w:spacing w:val="-4"/>
          <w:sz w:val="21"/>
        </w:rPr>
        <w:t xml:space="preserve">未按照招标文件的要求予以密封、标志的； </w:t>
      </w:r>
      <w:r>
        <w:rPr>
          <w:b w:val="0"/>
          <w:bCs w:val="0"/>
          <w:sz w:val="21"/>
        </w:rPr>
        <w:t>(3)</w:t>
      </w:r>
      <w:r>
        <w:rPr>
          <w:b w:val="0"/>
          <w:bCs w:val="0"/>
          <w:spacing w:val="-4"/>
          <w:sz w:val="21"/>
        </w:rPr>
        <w:t xml:space="preserve">未提供法定代表人证明和有效身份证明的； </w:t>
      </w:r>
      <w:r>
        <w:rPr>
          <w:b w:val="0"/>
          <w:bCs w:val="0"/>
          <w:sz w:val="21"/>
        </w:rPr>
        <w:t>(4)</w:t>
      </w:r>
      <w:r>
        <w:rPr>
          <w:b w:val="0"/>
          <w:bCs w:val="0"/>
          <w:spacing w:val="-4"/>
          <w:sz w:val="21"/>
        </w:rPr>
        <w:t xml:space="preserve">未提供授权委托书和所委托人身份证明的； </w:t>
      </w:r>
      <w:r>
        <w:rPr>
          <w:b w:val="0"/>
          <w:bCs w:val="0"/>
          <w:sz w:val="21"/>
        </w:rPr>
        <w:t>(5)</w:t>
      </w:r>
      <w:r>
        <w:rPr>
          <w:b w:val="0"/>
          <w:bCs w:val="0"/>
          <w:spacing w:val="-3"/>
          <w:sz w:val="21"/>
        </w:rPr>
        <w:t>未参加开标会议的</w:t>
      </w:r>
      <w:r>
        <w:rPr>
          <w:b w:val="0"/>
          <w:bCs w:val="0"/>
          <w:sz w:val="21"/>
        </w:rPr>
        <w:t>;</w:t>
      </w:r>
    </w:p>
    <w:p>
      <w:pPr>
        <w:pStyle w:val="6"/>
        <w:spacing w:line="264" w:lineRule="exact"/>
        <w:ind w:left="862"/>
      </w:pPr>
      <w:r>
        <w:t>(6)提供材料有瑕疵的；</w:t>
      </w:r>
    </w:p>
    <w:p>
      <w:pPr>
        <w:pStyle w:val="2"/>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2"/>
        <w:spacing w:before="3"/>
        <w:ind w:left="865"/>
      </w:pPr>
      <w:r>
        <w:t>2、清标</w:t>
      </w:r>
    </w:p>
    <w:p>
      <w:pPr>
        <w:pStyle w:val="20"/>
        <w:numPr>
          <w:ilvl w:val="1"/>
          <w:numId w:val="6"/>
        </w:numPr>
        <w:tabs>
          <w:tab w:val="left" w:pos="1233"/>
        </w:tabs>
        <w:spacing w:before="132"/>
        <w:ind w:hanging="371"/>
        <w:rPr>
          <w:sz w:val="21"/>
        </w:rPr>
      </w:pPr>
      <w:r>
        <w:rPr>
          <w:spacing w:val="-3"/>
          <w:sz w:val="21"/>
        </w:rPr>
        <w:t>组建清标工作组</w:t>
      </w:r>
    </w:p>
    <w:p>
      <w:pPr>
        <w:pStyle w:val="20"/>
        <w:numPr>
          <w:ilvl w:val="1"/>
          <w:numId w:val="6"/>
        </w:numPr>
        <w:tabs>
          <w:tab w:val="left" w:pos="1233"/>
        </w:tabs>
        <w:spacing w:before="129"/>
        <w:ind w:hanging="371"/>
        <w:rPr>
          <w:sz w:val="21"/>
        </w:rPr>
      </w:pPr>
      <w:r>
        <w:rPr>
          <w:spacing w:val="-3"/>
          <w:sz w:val="21"/>
        </w:rPr>
        <w:t>清标工作的主要内容包括：</w:t>
      </w:r>
    </w:p>
    <w:p>
      <w:pPr>
        <w:pStyle w:val="20"/>
        <w:numPr>
          <w:ilvl w:val="2"/>
          <w:numId w:val="6"/>
        </w:numPr>
        <w:tabs>
          <w:tab w:val="left" w:pos="1442"/>
        </w:tabs>
        <w:spacing w:before="132"/>
        <w:ind w:hanging="580"/>
        <w:rPr>
          <w:sz w:val="21"/>
        </w:rPr>
      </w:pPr>
      <w:r>
        <w:rPr>
          <w:spacing w:val="-3"/>
          <w:sz w:val="21"/>
        </w:rPr>
        <w:t>按照投标总价的高低，对投标文件进行排序；</w:t>
      </w:r>
    </w:p>
    <w:p>
      <w:pPr>
        <w:pStyle w:val="20"/>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20"/>
        <w:numPr>
          <w:ilvl w:val="2"/>
          <w:numId w:val="6"/>
        </w:numPr>
        <w:tabs>
          <w:tab w:val="left" w:pos="1442"/>
        </w:tabs>
        <w:spacing w:before="3"/>
        <w:ind w:hanging="580"/>
        <w:rPr>
          <w:sz w:val="21"/>
        </w:rPr>
      </w:pPr>
      <w:r>
        <w:rPr>
          <w:spacing w:val="-3"/>
          <w:sz w:val="21"/>
        </w:rPr>
        <w:t>按照招标文件的规定的方法和标准，对投标报价进行换算；</w:t>
      </w:r>
    </w:p>
    <w:p>
      <w:pPr>
        <w:pStyle w:val="20"/>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20"/>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20"/>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20"/>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20"/>
        <w:numPr>
          <w:ilvl w:val="0"/>
          <w:numId w:val="7"/>
        </w:numPr>
        <w:tabs>
          <w:tab w:val="left" w:pos="1181"/>
        </w:tabs>
        <w:spacing w:before="131"/>
        <w:ind w:hanging="319"/>
        <w:rPr>
          <w:sz w:val="21"/>
        </w:rPr>
      </w:pPr>
      <w:r>
        <w:rPr>
          <w:spacing w:val="-3"/>
          <w:sz w:val="21"/>
        </w:rPr>
        <w:t>评标委员会由招标人负责组建。</w:t>
      </w:r>
    </w:p>
    <w:p>
      <w:pPr>
        <w:pStyle w:val="2"/>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20"/>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20"/>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0"/>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2"/>
        <w:spacing w:before="129"/>
        <w:ind w:left="865"/>
      </w:pPr>
      <w:r>
        <w:t>5</w:t>
      </w:r>
      <w:r>
        <w:rPr>
          <w:spacing w:val="-3"/>
        </w:rPr>
        <w:t>、本工程过高或过低的投标价格的具体标准为下列第</w:t>
      </w:r>
      <w:r>
        <w:rPr>
          <w:u w:val="single"/>
        </w:rPr>
        <w:t>/</w:t>
      </w:r>
      <w:r>
        <w:t>种方式：</w:t>
      </w:r>
    </w:p>
    <w:p>
      <w:pPr>
        <w:pStyle w:val="20"/>
        <w:numPr>
          <w:ilvl w:val="0"/>
          <w:numId w:val="9"/>
        </w:numPr>
        <w:tabs>
          <w:tab w:val="left" w:pos="1392"/>
        </w:tabs>
        <w:spacing w:before="132"/>
        <w:ind w:hanging="530"/>
        <w:rPr>
          <w:sz w:val="21"/>
        </w:rPr>
      </w:pPr>
      <w:r>
        <w:rPr>
          <w:spacing w:val="-3"/>
          <w:sz w:val="21"/>
        </w:rPr>
        <w:t>以招标人设定的标底价格的一定幅度为标准；</w:t>
      </w:r>
    </w:p>
    <w:p>
      <w:pPr>
        <w:pStyle w:val="20"/>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20"/>
        <w:numPr>
          <w:ilvl w:val="0"/>
          <w:numId w:val="9"/>
        </w:numPr>
        <w:tabs>
          <w:tab w:val="left" w:pos="1392"/>
        </w:tabs>
        <w:spacing w:before="129"/>
        <w:ind w:hanging="530"/>
        <w:rPr>
          <w:sz w:val="21"/>
        </w:rPr>
      </w:pPr>
      <w:r>
        <w:rPr>
          <w:spacing w:val="-3"/>
          <w:sz w:val="21"/>
        </w:rPr>
        <w:t>以承包人投标价格的平均值的一定幅度为标准。</w:t>
      </w:r>
    </w:p>
    <w:p>
      <w:pPr>
        <w:pStyle w:val="6"/>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20"/>
        <w:numPr>
          <w:ilvl w:val="0"/>
          <w:numId w:val="10"/>
        </w:numPr>
        <w:tabs>
          <w:tab w:val="left" w:pos="1392"/>
        </w:tabs>
        <w:spacing w:before="49"/>
        <w:ind w:hanging="530"/>
        <w:jc w:val="left"/>
        <w:rPr>
          <w:sz w:val="19"/>
        </w:rPr>
      </w:pPr>
      <w:r>
        <w:rPr>
          <w:spacing w:val="-3"/>
          <w:sz w:val="21"/>
        </w:rPr>
        <w:t>工程内容是否完整；</w:t>
      </w:r>
    </w:p>
    <w:p>
      <w:pPr>
        <w:pStyle w:val="20"/>
        <w:numPr>
          <w:ilvl w:val="0"/>
          <w:numId w:val="10"/>
        </w:numPr>
        <w:tabs>
          <w:tab w:val="left" w:pos="1392"/>
        </w:tabs>
        <w:spacing w:before="131"/>
        <w:ind w:hanging="530"/>
        <w:jc w:val="left"/>
        <w:rPr>
          <w:sz w:val="19"/>
        </w:rPr>
      </w:pPr>
      <w:r>
        <w:rPr>
          <w:spacing w:val="-3"/>
          <w:sz w:val="21"/>
        </w:rPr>
        <w:t>施工方法是否正确；</w:t>
      </w:r>
    </w:p>
    <w:p>
      <w:pPr>
        <w:pStyle w:val="20"/>
        <w:numPr>
          <w:ilvl w:val="0"/>
          <w:numId w:val="10"/>
        </w:numPr>
        <w:tabs>
          <w:tab w:val="left" w:pos="1392"/>
        </w:tabs>
        <w:spacing w:before="130"/>
        <w:ind w:hanging="530"/>
        <w:jc w:val="left"/>
        <w:rPr>
          <w:sz w:val="19"/>
        </w:rPr>
      </w:pPr>
      <w:r>
        <w:rPr>
          <w:spacing w:val="-3"/>
          <w:sz w:val="21"/>
        </w:rPr>
        <w:t>施工组织和技术处理是否合理、可行；</w:t>
      </w:r>
    </w:p>
    <w:p>
      <w:pPr>
        <w:pStyle w:val="20"/>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20"/>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20"/>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6"/>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6"/>
        <w:spacing w:line="355" w:lineRule="auto"/>
        <w:ind w:left="442" w:right="1536" w:firstLine="422"/>
      </w:pPr>
      <w:r>
        <w:rPr>
          <w:b/>
        </w:rPr>
        <w:t>7、</w:t>
      </w:r>
      <w:r>
        <w:t>评标过程中数据和评分的计算过程和计算结果均保留二位小数，小数点后的第三位四舍五入。</w:t>
      </w:r>
    </w:p>
    <w:p>
      <w:pPr>
        <w:pStyle w:val="6"/>
        <w:spacing w:line="357" w:lineRule="auto"/>
        <w:ind w:left="442" w:right="1536" w:firstLine="422"/>
      </w:pPr>
      <w:r>
        <w:rPr>
          <w:b/>
        </w:rPr>
        <w:t>8、</w:t>
      </w:r>
      <w:r>
        <w:t>在评标过程中，评标委员会成员对同一问题意见不一致的，按照少数服从多数的原则形成评标结论。</w:t>
      </w:r>
    </w:p>
    <w:p>
      <w:pPr>
        <w:pStyle w:val="6"/>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266" w:lineRule="exact"/>
        <w:ind w:left="862"/>
      </w:pPr>
      <w:r>
        <w:t>（十七）投标文件的澄清</w:t>
      </w:r>
    </w:p>
    <w:p>
      <w:pPr>
        <w:pStyle w:val="6"/>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55" w:lineRule="auto"/>
        <w:ind w:left="442" w:right="1539" w:firstLine="419"/>
      </w:pPr>
      <w:r>
        <w:t>2、评标委员会在对实质上响应招标文件要求的投标进行报价时，除招标文件另有约定外，将按下述原则进行修正。</w:t>
      </w:r>
    </w:p>
    <w:p>
      <w:pPr>
        <w:pStyle w:val="20"/>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20"/>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6"/>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6"/>
        <w:spacing w:line="267" w:lineRule="exact"/>
        <w:ind w:left="862"/>
      </w:pPr>
      <w:r>
        <w:t>（4）按前款规定调整后的报价经承包人确认后产生约束力。</w:t>
      </w:r>
    </w:p>
    <w:p>
      <w:pPr>
        <w:pStyle w:val="6"/>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6"/>
        <w:spacing w:before="49" w:line="357" w:lineRule="auto"/>
        <w:ind w:left="862" w:right="1853"/>
      </w:pPr>
      <w:r>
        <w:t>修正的，承包人应当按照要求进行澄清、说明或补正、修正的；承包人拒绝的，评标委员会可以否决其投标。</w:t>
      </w:r>
    </w:p>
    <w:p>
      <w:pPr>
        <w:pStyle w:val="6"/>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6"/>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6"/>
        <w:spacing w:line="266" w:lineRule="exact"/>
        <w:ind w:left="862"/>
        <w:jc w:val="both"/>
      </w:pPr>
      <w:r>
        <w:t>（二十一）评标和定标将在投标有效期结束日 30 个工作日前完成。不能在投标有效期</w:t>
      </w:r>
    </w:p>
    <w:p>
      <w:pPr>
        <w:pStyle w:val="6"/>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6"/>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6"/>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w:t>
      </w:r>
      <w:r>
        <w:rPr>
          <w:rFonts w:ascii="宋体" w:hAnsi="宋体" w:eastAsia="宋体" w:cs="宋体"/>
          <w:highlight w:val="none"/>
        </w:rPr>
        <w:t>证金：合同价款的10%，合同签订前</w:t>
      </w:r>
      <w:r>
        <w:rPr>
          <w:rFonts w:ascii="宋体" w:hAnsi="宋体" w:eastAsia="宋体" w:cs="宋体"/>
        </w:rPr>
        <w:t>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6"/>
        <w:rPr>
          <w:sz w:val="20"/>
        </w:r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6"/>
              <w:jc w:val="center"/>
              <w:rPr>
                <w:b/>
                <w:sz w:val="23"/>
              </w:rPr>
            </w:pPr>
          </w:p>
          <w:p>
            <w:pPr>
              <w:pStyle w:val="21"/>
              <w:ind w:left="157" w:right="143"/>
              <w:jc w:val="center"/>
              <w:rPr>
                <w:b/>
                <w:sz w:val="28"/>
              </w:rPr>
            </w:pPr>
            <w:r>
              <w:rPr>
                <w:b/>
                <w:sz w:val="28"/>
              </w:rPr>
              <w:t>工程名称</w:t>
            </w:r>
          </w:p>
        </w:tc>
        <w:tc>
          <w:tcPr>
            <w:tcW w:w="6364" w:type="dxa"/>
            <w:vAlign w:val="center"/>
          </w:tcPr>
          <w:p>
            <w:pPr>
              <w:pStyle w:val="21"/>
              <w:ind w:left="157" w:right="143"/>
              <w:jc w:val="center"/>
              <w:rPr>
                <w:b/>
                <w:sz w:val="28"/>
              </w:rPr>
            </w:pPr>
            <w:r>
              <w:rPr>
                <w:rFonts w:hint="eastAsia"/>
                <w:b/>
                <w:sz w:val="28"/>
                <w:lang w:eastAsia="zh-CN"/>
              </w:rPr>
              <w:t>常州市金坛区实验幼儿园食堂改造项目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vAlign w:val="center"/>
          </w:tcPr>
          <w:p>
            <w:pPr>
              <w:pStyle w:val="21"/>
              <w:spacing w:before="9"/>
              <w:jc w:val="center"/>
              <w:rPr>
                <w:b/>
                <w:sz w:val="25"/>
                <w:highlight w:val="none"/>
              </w:rPr>
            </w:pPr>
          </w:p>
          <w:p>
            <w:pPr>
              <w:pStyle w:val="21"/>
              <w:ind w:left="157" w:right="143"/>
              <w:jc w:val="center"/>
              <w:rPr>
                <w:rFonts w:hint="eastAsia" w:eastAsia="宋体"/>
                <w:b/>
                <w:sz w:val="28"/>
                <w:highlight w:val="none"/>
                <w:lang w:eastAsia="zh-CN"/>
              </w:rPr>
            </w:pPr>
            <w:r>
              <w:rPr>
                <w:b/>
                <w:sz w:val="28"/>
                <w:highlight w:val="none"/>
              </w:rPr>
              <w:t>项目</w:t>
            </w:r>
            <w:r>
              <w:rPr>
                <w:rFonts w:hint="eastAsia"/>
                <w:b/>
                <w:sz w:val="28"/>
                <w:highlight w:val="none"/>
                <w:lang w:eastAsia="zh-CN"/>
              </w:rPr>
              <w:t>负责人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vAlign w:val="center"/>
          </w:tcPr>
          <w:p>
            <w:pPr>
              <w:pStyle w:val="21"/>
              <w:spacing w:before="11"/>
              <w:jc w:val="center"/>
              <w:rPr>
                <w:b/>
                <w:highlight w:val="none"/>
              </w:rPr>
            </w:pPr>
          </w:p>
          <w:p>
            <w:pPr>
              <w:pStyle w:val="21"/>
              <w:ind w:left="154" w:right="143"/>
              <w:jc w:val="center"/>
              <w:rPr>
                <w:b/>
                <w:sz w:val="28"/>
                <w:highlight w:val="none"/>
              </w:rPr>
            </w:pPr>
            <w:r>
              <w:rPr>
                <w:b/>
                <w:sz w:val="28"/>
                <w:highlight w:val="none"/>
              </w:rPr>
              <w:t>工期</w:t>
            </w:r>
          </w:p>
        </w:tc>
        <w:tc>
          <w:tcPr>
            <w:tcW w:w="6364" w:type="dxa"/>
            <w:vAlign w:val="center"/>
          </w:tcPr>
          <w:p>
            <w:pPr>
              <w:pStyle w:val="21"/>
              <w:ind w:left="157" w:right="143"/>
              <w:jc w:val="center"/>
              <w:rPr>
                <w:b/>
                <w:sz w:val="28"/>
                <w:highlight w:val="none"/>
              </w:rPr>
            </w:pPr>
            <w:r>
              <w:rPr>
                <w:rFonts w:hint="eastAsia"/>
                <w:b/>
                <w:sz w:val="28"/>
                <w:highlight w:val="none"/>
                <w:lang w:val="en-US" w:eastAsia="zh-CN"/>
              </w:rPr>
              <w:t>30</w:t>
            </w:r>
            <w:r>
              <w:rPr>
                <w:rFonts w:hint="eastAsia"/>
                <w:b/>
                <w:sz w:val="28"/>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5"/>
              <w:jc w:val="center"/>
              <w:rPr>
                <w:b/>
                <w:sz w:val="23"/>
                <w:highlight w:val="none"/>
              </w:rPr>
            </w:pPr>
          </w:p>
          <w:p>
            <w:pPr>
              <w:pStyle w:val="21"/>
              <w:spacing w:before="1"/>
              <w:ind w:left="157" w:right="143"/>
              <w:jc w:val="center"/>
              <w:rPr>
                <w:rFonts w:hint="eastAsia" w:eastAsia="宋体"/>
                <w:b/>
                <w:sz w:val="28"/>
                <w:highlight w:val="none"/>
                <w:lang w:val="en-US" w:eastAsia="zh-CN"/>
              </w:rPr>
            </w:pPr>
            <w:r>
              <w:rPr>
                <w:rFonts w:hint="eastAsia"/>
                <w:b/>
                <w:sz w:val="28"/>
                <w:highlight w:val="none"/>
                <w:lang w:val="en-US" w:eastAsia="zh-CN"/>
              </w:rPr>
              <w:t>承包人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vAlign w:val="center"/>
          </w:tcPr>
          <w:p>
            <w:pPr>
              <w:pStyle w:val="21"/>
              <w:spacing w:before="5"/>
              <w:jc w:val="center"/>
              <w:rPr>
                <w:b/>
                <w:sz w:val="23"/>
              </w:rPr>
            </w:pPr>
          </w:p>
          <w:p>
            <w:pPr>
              <w:pStyle w:val="21"/>
              <w:spacing w:before="1"/>
              <w:ind w:left="157" w:right="143"/>
              <w:jc w:val="center"/>
              <w:rPr>
                <w:b/>
                <w:sz w:val="28"/>
              </w:rPr>
            </w:pPr>
            <w:r>
              <w:rPr>
                <w:b/>
                <w:sz w:val="28"/>
              </w:rPr>
              <w:t>工程地点</w:t>
            </w:r>
          </w:p>
        </w:tc>
        <w:tc>
          <w:tcPr>
            <w:tcW w:w="6364" w:type="dxa"/>
            <w:vAlign w:val="center"/>
          </w:tcPr>
          <w:p>
            <w:pPr>
              <w:pStyle w:val="21"/>
              <w:ind w:left="157" w:right="143"/>
              <w:jc w:val="center"/>
              <w:rPr>
                <w:rFonts w:hint="eastAsia" w:eastAsia="宋体"/>
                <w:b/>
                <w:sz w:val="28"/>
                <w:lang w:eastAsia="zh-CN"/>
              </w:rPr>
            </w:pPr>
            <w:r>
              <w:rPr>
                <w:rFonts w:hint="eastAsia"/>
                <w:b/>
                <w:sz w:val="28"/>
                <w:lang w:eastAsia="zh-CN"/>
              </w:rPr>
              <w:t>常州市金坛区实验幼儿园</w:t>
            </w: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footerReference r:id="rId7" w:type="default"/>
          <w:footerReference r:id="rId8" w:type="even"/>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r>
        <w:rPr>
          <w:rFonts w:hint="eastAsia" w:cs="宋体"/>
          <w:sz w:val="21"/>
          <w:szCs w:val="21"/>
          <w:lang w:eastAsia="zh-CN"/>
        </w:rPr>
        <w:t>常州市金坛区实验幼儿园食堂改造项目</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 xml:space="preserve">  </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日，计划竣工日期：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w:t>
      </w:r>
      <w:r>
        <w:rPr>
          <w:rFonts w:hint="eastAsia" w:cs="宋体"/>
          <w:sz w:val="21"/>
          <w:szCs w:val="21"/>
          <w:highlight w:val="none"/>
          <w:lang w:val="en-US" w:eastAsia="zh-CN"/>
        </w:rPr>
        <w:t>2</w:t>
      </w:r>
      <w:r>
        <w:rPr>
          <w:rFonts w:hint="eastAsia" w:ascii="宋体" w:hAnsi="宋体" w:cs="宋体"/>
          <w:sz w:val="21"/>
          <w:szCs w:val="21"/>
          <w:highlight w:val="none"/>
        </w:rPr>
        <w:t>）暂列金额：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color w:val="auto"/>
          <w:sz w:val="21"/>
          <w:szCs w:val="21"/>
        </w:rPr>
        <w:t>7）图纸会审和设计交底时间：</w:t>
      </w:r>
      <w:r>
        <w:rPr>
          <w:rFonts w:hint="eastAsia" w:ascii="宋体" w:hAnsi="宋体" w:cs="宋体"/>
          <w:color w:val="auto"/>
          <w:sz w:val="21"/>
          <w:szCs w:val="21"/>
          <w:u w:val="single"/>
        </w:rPr>
        <w:t xml:space="preserve"> </w:t>
      </w:r>
      <w:r>
        <w:rPr>
          <w:rFonts w:hint="eastAsia" w:cs="宋体"/>
          <w:b/>
          <w:bCs/>
          <w:color w:val="auto"/>
          <w:sz w:val="21"/>
          <w:szCs w:val="21"/>
          <w:u w:val="single"/>
          <w:lang w:val="en-US" w:eastAsia="zh-CN"/>
        </w:rPr>
        <w:t>/</w:t>
      </w:r>
      <w:r>
        <w:rPr>
          <w:rFonts w:hint="eastAsia" w:ascii="宋体" w:hAnsi="宋体" w:cs="宋体"/>
          <w:b/>
          <w:bCs/>
          <w:color w:val="auto"/>
          <w:sz w:val="21"/>
          <w:szCs w:val="21"/>
          <w:u w:val="single"/>
        </w:rPr>
        <w:t xml:space="preserve"> </w:t>
      </w:r>
      <w:r>
        <w:rPr>
          <w:rFonts w:hint="eastAsia" w:ascii="宋体" w:hAnsi="宋体" w:cs="宋体"/>
          <w:color w:val="auto"/>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highlight w:val="none"/>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u w:val="single"/>
        </w:rPr>
        <w:t xml:space="preserve"> 平时</w:t>
      </w:r>
      <w:r>
        <w:rPr>
          <w:rFonts w:hint="eastAsia" w:ascii="宋体" w:hAnsi="宋体" w:cs="宋体"/>
          <w:b/>
          <w:bCs/>
          <w:sz w:val="21"/>
          <w:szCs w:val="21"/>
          <w:highlight w:val="none"/>
          <w:u w:val="single"/>
        </w:rPr>
        <w:t>做到工完场地清，如未及时清理垃圾，将进行处罚，每发生一次，处以</w:t>
      </w:r>
      <w:r>
        <w:rPr>
          <w:rFonts w:hint="eastAsia" w:cs="宋体"/>
          <w:b/>
          <w:bCs/>
          <w:sz w:val="21"/>
          <w:szCs w:val="21"/>
          <w:highlight w:val="none"/>
          <w:u w:val="single"/>
          <w:lang w:val="en-US" w:eastAsia="zh-CN"/>
        </w:rPr>
        <w:t>1000</w:t>
      </w:r>
      <w:r>
        <w:rPr>
          <w:rFonts w:hint="eastAsia" w:ascii="宋体" w:hAnsi="宋体" w:cs="宋体"/>
          <w:b/>
          <w:bCs/>
          <w:sz w:val="21"/>
          <w:szCs w:val="21"/>
          <w:highlight w:val="none"/>
          <w:u w:val="single"/>
        </w:rPr>
        <w:t>元/次。如遇重大事项须整体及时清理的，未能按甲方指定时间内清除、运送自行产生的垃圾，将进行处罚，每发生一次，处以</w:t>
      </w:r>
      <w:r>
        <w:rPr>
          <w:rFonts w:hint="eastAsia" w:cs="宋体"/>
          <w:b/>
          <w:bCs/>
          <w:sz w:val="21"/>
          <w:szCs w:val="21"/>
          <w:highlight w:val="none"/>
          <w:u w:val="single"/>
          <w:lang w:val="en-US" w:eastAsia="zh-CN"/>
        </w:rPr>
        <w:t>10000</w:t>
      </w:r>
      <w:r>
        <w:rPr>
          <w:rFonts w:hint="eastAsia" w:ascii="宋体" w:hAnsi="宋体" w:cs="宋体"/>
          <w:b/>
          <w:bCs/>
          <w:sz w:val="21"/>
          <w:szCs w:val="21"/>
          <w:highlight w:val="none"/>
          <w:u w:val="single"/>
        </w:rPr>
        <w:t xml:space="preserve">元/次。                                                       </w:t>
      </w:r>
    </w:p>
    <w:p>
      <w:pPr>
        <w:spacing w:line="360" w:lineRule="auto"/>
        <w:rPr>
          <w:rFonts w:hint="eastAsia" w:ascii="宋体" w:hAnsi="宋体" w:cs="宋体"/>
          <w:sz w:val="21"/>
          <w:szCs w:val="21"/>
        </w:rPr>
      </w:pPr>
      <w:r>
        <w:rPr>
          <w:rFonts w:hint="eastAsia" w:ascii="宋体" w:hAnsi="宋体" w:cs="宋体"/>
          <w:sz w:val="21"/>
          <w:szCs w:val="21"/>
          <w:highlight w:val="none"/>
        </w:rPr>
        <w:t xml:space="preserve">   （9）双方约定乙方应做的其他工作： </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 xml:space="preserve"> /                          </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6503206"/>
      <w:bookmarkStart w:id="10" w:name="_Toc296891246"/>
      <w:bookmarkStart w:id="11" w:name="_Toc296891034"/>
      <w:bookmarkStart w:id="12" w:name="_Toc297048392"/>
      <w:bookmarkStart w:id="13" w:name="_Toc296346707"/>
      <w:bookmarkStart w:id="14" w:name="_Toc296944545"/>
      <w:bookmarkStart w:id="15" w:name="_Toc296347205"/>
      <w:bookmarkStart w:id="16" w:name="_Toc297120506"/>
      <w:bookmarkStart w:id="17" w:name="_Toc312678041"/>
      <w:bookmarkStart w:id="18" w:name="_Toc300935003"/>
      <w:bookmarkStart w:id="19" w:name="_Toc304295580"/>
      <w:bookmarkStart w:id="20" w:name="_Toc297216212"/>
      <w:bookmarkStart w:id="21" w:name="_Toc297123553"/>
      <w:bookmarkStart w:id="22" w:name="_Toc303539160"/>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7"/>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7"/>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7"/>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7"/>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cs="宋体"/>
          <w:sz w:val="21"/>
          <w:szCs w:val="21"/>
          <w:shd w:val="clear" w:color="auto" w:fill="FFFFFF"/>
          <w:lang w:val="en-US" w:eastAsia="zh-CN"/>
        </w:rPr>
      </w:pPr>
      <w:r>
        <w:rPr>
          <w:rFonts w:hint="eastAsia" w:cs="宋体"/>
          <w:sz w:val="21"/>
          <w:szCs w:val="21"/>
          <w:shd w:val="clear" w:color="auto" w:fill="FFFFFF"/>
          <w:lang w:val="en-US" w:eastAsia="zh-CN"/>
        </w:rPr>
        <w:t>1）在合同工期内工程竣工验收合格后，2025年1月1日前付至合同价款的60%（扣除暂列金及未施工工程量）；</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2）2026年1月1日前按照审定价付清余款（保修金除外）。</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3）上述款项均须在工程竣工验收合格后方可支付。</w:t>
      </w:r>
    </w:p>
    <w:p>
      <w:pPr>
        <w:keepNext w:val="0"/>
        <w:keepLines w:val="0"/>
        <w:pageBreakBefore w:val="0"/>
        <w:kinsoku/>
        <w:wordWrap/>
        <w:overflowPunct/>
        <w:topLinePunct w:val="0"/>
        <w:bidi w:val="0"/>
        <w:adjustRightInd/>
        <w:snapToGrid/>
        <w:spacing w:line="420" w:lineRule="exact"/>
        <w:textAlignment w:val="auto"/>
        <w:rPr>
          <w:rFonts w:hint="eastAsia" w:ascii="宋体" w:hAnsi="宋体" w:cs="宋体"/>
          <w:sz w:val="21"/>
          <w:szCs w:val="21"/>
          <w:lang w:val="en-US" w:eastAsia="zh-CN"/>
        </w:rPr>
      </w:pPr>
      <w:r>
        <w:rPr>
          <w:rFonts w:hint="eastAsia" w:ascii="宋体" w:hAnsi="宋体" w:cs="宋体"/>
          <w:sz w:val="21"/>
          <w:szCs w:val="21"/>
          <w:lang w:val="en-US" w:eastAsia="zh-CN"/>
        </w:rPr>
        <w:t>注：中标人必须将竣工资料及其他相关施工资料提交完成后方可进行竣工验收，工程竣工验收合格方可进行工程结算审计。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w:t>
      </w:r>
      <w:r>
        <w:rPr>
          <w:rFonts w:hint="eastAsia" w:ascii="宋体" w:hAnsi="宋体" w:eastAsia="宋体" w:cs="宋体"/>
          <w:b/>
          <w:bCs/>
          <w:color w:val="auto"/>
          <w:sz w:val="21"/>
          <w:szCs w:val="21"/>
          <w:highlight w:val="none"/>
          <w:u w:val="none"/>
          <w:lang w:val="en-US" w:eastAsia="zh-CN"/>
        </w:rPr>
        <w:t>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12）施工过程中扬尘、噪音控制等需符合相关文件规定，如被相关部门查处并通报，除按规定处罚以外还需向采购人支付</w:t>
      </w:r>
      <w:r>
        <w:rPr>
          <w:rFonts w:hint="eastAsia" w:cs="宋体"/>
          <w:b/>
          <w:bCs/>
          <w:color w:val="auto"/>
          <w:sz w:val="21"/>
          <w:szCs w:val="21"/>
          <w:highlight w:val="none"/>
          <w:u w:val="none"/>
          <w:lang w:val="en-US" w:eastAsia="zh-CN"/>
        </w:rPr>
        <w:t>2万</w:t>
      </w:r>
      <w:r>
        <w:rPr>
          <w:rFonts w:hint="eastAsia" w:ascii="宋体" w:hAnsi="宋体" w:eastAsia="宋体" w:cs="宋体"/>
          <w:b/>
          <w:bCs/>
          <w:color w:val="auto"/>
          <w:sz w:val="21"/>
          <w:szCs w:val="21"/>
          <w:highlight w:val="none"/>
          <w:u w:val="none"/>
          <w:lang w:val="en-US" w:eastAsia="zh-CN"/>
        </w:rPr>
        <w:t>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highlight w:val="none"/>
          <w:u w:val="none"/>
          <w:lang w:val="en-US" w:eastAsia="zh-CN"/>
        </w:rPr>
        <w:t>13）所有垃圾清理外运：清理、拆除的垃圾外运及垃圾处理费，由投标单位考虑到报价中，垃圾处理要求按照“常城管（2019）31</w:t>
      </w:r>
      <w:r>
        <w:rPr>
          <w:rFonts w:hint="eastAsia" w:ascii="宋体" w:hAnsi="宋体" w:eastAsia="宋体" w:cs="宋体"/>
          <w:b/>
          <w:bCs/>
          <w:color w:val="auto"/>
          <w:sz w:val="21"/>
          <w:szCs w:val="21"/>
          <w:u w:val="none"/>
          <w:lang w:val="en-US" w:eastAsia="zh-CN"/>
        </w:rPr>
        <w:t>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highlight w:val="none"/>
          <w:u w:val="single"/>
        </w:rPr>
        <w:t>本工程质量保修期</w:t>
      </w:r>
      <w:r>
        <w:rPr>
          <w:rFonts w:hint="eastAsia" w:cs="宋体"/>
          <w:color w:val="0000FF"/>
          <w:sz w:val="21"/>
          <w:szCs w:val="21"/>
          <w:highlight w:val="none"/>
          <w:u w:val="single"/>
          <w:lang w:val="en-US" w:eastAsia="zh-CN"/>
        </w:rPr>
        <w:t>2</w:t>
      </w:r>
      <w:r>
        <w:rPr>
          <w:rFonts w:hint="eastAsia" w:ascii="宋体" w:hAnsi="宋体" w:cs="宋体"/>
          <w:color w:val="0000FF"/>
          <w:sz w:val="21"/>
          <w:szCs w:val="21"/>
          <w:highlight w:val="none"/>
          <w:u w:val="single"/>
        </w:rPr>
        <w:t>年</w:t>
      </w:r>
      <w:r>
        <w:rPr>
          <w:rFonts w:hint="eastAsia" w:ascii="宋体" w:hAnsi="宋体" w:cs="宋体"/>
          <w:b/>
          <w:bCs/>
          <w:color w:val="0000FF"/>
          <w:sz w:val="21"/>
          <w:szCs w:val="21"/>
          <w:highlight w:val="none"/>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甲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乙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sz w:val="21"/>
          <w:szCs w:val="21"/>
        </w:rPr>
      </w:pPr>
      <w:r>
        <w:rPr>
          <w:rFonts w:hint="eastAsia" w:ascii="宋体" w:hAnsi="宋体"/>
          <w:sz w:val="21"/>
          <w:szCs w:val="21"/>
        </w:rPr>
        <w:t>　　　　</w:t>
      </w:r>
      <w:r>
        <w:rPr>
          <w:rFonts w:hint="eastAsia"/>
          <w:sz w:val="21"/>
          <w:szCs w:val="21"/>
          <w:lang w:val="en-US" w:eastAsia="zh-CN"/>
        </w:rPr>
        <w:t xml:space="preserve">                                </w:t>
      </w:r>
      <w:r>
        <w:rPr>
          <w:rFonts w:hint="eastAsia" w:ascii="宋体" w:hAnsi="宋体"/>
          <w:sz w:val="21"/>
          <w:szCs w:val="21"/>
          <w:lang w:val="en-US" w:eastAsia="zh-CN"/>
        </w:rPr>
        <w:t xml:space="preserve">     </w:t>
      </w:r>
      <w:r>
        <w:rPr>
          <w:rFonts w:hint="eastAsia" w:ascii="宋体" w:hAnsi="宋体"/>
          <w:sz w:val="21"/>
          <w:szCs w:val="21"/>
        </w:rPr>
        <w:t>责任人：　</w:t>
      </w:r>
    </w:p>
    <w:p>
      <w:pPr>
        <w:pStyle w:val="2"/>
        <w:keepNext w:val="0"/>
        <w:keepLines w:val="0"/>
        <w:pageBreakBefore w:val="0"/>
        <w:kinsoku/>
        <w:wordWrap/>
        <w:overflowPunct/>
        <w:topLinePunct w:val="0"/>
        <w:bidi w:val="0"/>
        <w:adjustRightInd/>
        <w:snapToGrid/>
        <w:spacing w:line="360" w:lineRule="auto"/>
        <w:ind w:firstLine="4830" w:firstLineChars="2300"/>
        <w:textAlignment w:val="auto"/>
        <w:rPr>
          <w:rFonts w:hint="eastAsia" w:ascii="宋体" w:hAnsi="宋体" w:eastAsia="宋体" w:cs="宋体"/>
          <w:b w:val="0"/>
          <w:bCs w:val="0"/>
          <w:sz w:val="21"/>
          <w:szCs w:val="21"/>
          <w:lang w:val="zh-CN" w:eastAsia="zh-CN" w:bidi="zh-CN"/>
        </w:rPr>
      </w:pPr>
      <w:r>
        <w:rPr>
          <w:rFonts w:hint="eastAsia" w:ascii="宋体" w:hAnsi="宋体" w:eastAsia="宋体" w:cs="宋体"/>
          <w:b w:val="0"/>
          <w:bCs w:val="0"/>
          <w:sz w:val="21"/>
          <w:szCs w:val="21"/>
          <w:lang w:val="zh-CN" w:eastAsia="zh-CN" w:bidi="zh-CN"/>
        </w:rPr>
        <w:t>法定代表人或授权委托人（签字）：</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rPr>
      </w:pP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甲方（</w:t>
      </w:r>
      <w:r>
        <w:rPr>
          <w:rFonts w:hint="eastAsia"/>
          <w:sz w:val="21"/>
          <w:szCs w:val="21"/>
          <w:lang w:val="en-US" w:eastAsia="zh-CN"/>
        </w:rPr>
        <w:t>发包人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乙方（</w:t>
      </w:r>
      <w:r>
        <w:rPr>
          <w:rFonts w:hint="eastAsia"/>
          <w:sz w:val="21"/>
          <w:szCs w:val="21"/>
          <w:lang w:val="en-US" w:eastAsia="zh-CN"/>
        </w:rPr>
        <w:t>承包人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承包范围：</w:t>
      </w:r>
      <w:r>
        <w:rPr>
          <w:rFonts w:hint="eastAsia"/>
          <w:sz w:val="21"/>
          <w:szCs w:val="21"/>
          <w:lang w:val="en-US" w:eastAsia="zh-CN"/>
        </w:rPr>
        <w:t>工程量清单内所有内容</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6"/>
        <w:rPr>
          <w:b/>
          <w:sz w:val="20"/>
        </w:rPr>
      </w:pPr>
    </w:p>
    <w:p>
      <w:pPr>
        <w:pStyle w:val="6"/>
        <w:rPr>
          <w:sz w:val="20"/>
        </w:rPr>
      </w:pPr>
    </w:p>
    <w:p>
      <w:pPr>
        <w:pStyle w:val="6"/>
        <w:rPr>
          <w:sz w:val="20"/>
        </w:rPr>
      </w:pPr>
    </w:p>
    <w:p>
      <w:pPr>
        <w:pStyle w:val="6"/>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6"/>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6"/>
        <w:rPr>
          <w:sz w:val="44"/>
        </w:rPr>
      </w:pPr>
    </w:p>
    <w:p>
      <w:pPr>
        <w:pStyle w:val="6"/>
        <w:rPr>
          <w:sz w:val="44"/>
        </w:rPr>
      </w:pPr>
    </w:p>
    <w:p>
      <w:pPr>
        <w:pStyle w:val="6"/>
        <w:spacing w:before="12"/>
        <w:rPr>
          <w:sz w:val="43"/>
        </w:rPr>
      </w:pPr>
    </w:p>
    <w:p>
      <w:pPr>
        <w:pStyle w:val="6"/>
        <w:jc w:val="center"/>
        <w:rPr>
          <w:rFonts w:hint="eastAsia" w:eastAsia="宋体"/>
          <w:sz w:val="36"/>
          <w:szCs w:val="28"/>
          <w:lang w:eastAsia="zh-CN"/>
        </w:rPr>
      </w:pPr>
      <w:r>
        <w:rPr>
          <w:rFonts w:hint="eastAsia"/>
          <w:sz w:val="36"/>
          <w:szCs w:val="28"/>
          <w:lang w:eastAsia="zh-CN"/>
        </w:rPr>
        <w:t>常州市金坛区实验幼儿园食堂改造项目</w:t>
      </w: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sz w:val="24"/>
        </w:rPr>
      </w:pPr>
    </w:p>
    <w:p>
      <w:pPr>
        <w:tabs>
          <w:tab w:val="left" w:pos="2422"/>
          <w:tab w:val="left" w:pos="7367"/>
        </w:tabs>
        <w:spacing w:before="67"/>
        <w:ind w:left="1942"/>
        <w:rPr>
          <w:rFonts w:hint="default" w:eastAsia="宋体"/>
          <w:b/>
          <w:sz w:val="24"/>
          <w:u w:val="single"/>
          <w:lang w:val="en-US" w:eastAsia="zh-CN"/>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rFonts w:hint="eastAsia"/>
          <w:sz w:val="24"/>
          <w:lang w:val="en-US" w:eastAsia="zh-CN"/>
        </w:rPr>
        <w:t xml:space="preserve">     </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w:t>
      </w:r>
      <w:r>
        <w:rPr>
          <w:rFonts w:hint="eastAsia"/>
          <w:lang w:val="en-US" w:eastAsia="zh-CN"/>
        </w:rPr>
        <w:t xml:space="preserve">     </w:t>
      </w:r>
      <w:r>
        <w:t>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6"/>
        <w:rPr>
          <w:sz w:val="20"/>
        </w:rPr>
      </w:pPr>
    </w:p>
    <w:p>
      <w:pPr>
        <w:pStyle w:val="6"/>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6"/>
        <w:rPr>
          <w:b/>
          <w:sz w:val="24"/>
        </w:rPr>
      </w:pPr>
    </w:p>
    <w:p>
      <w:pPr>
        <w:pStyle w:val="6"/>
        <w:rPr>
          <w:b/>
          <w:sz w:val="24"/>
        </w:rPr>
      </w:pPr>
    </w:p>
    <w:p>
      <w:pPr>
        <w:pStyle w:val="6"/>
        <w:rPr>
          <w:b/>
          <w:sz w:val="24"/>
        </w:rPr>
      </w:pPr>
    </w:p>
    <w:p>
      <w:pPr>
        <w:pStyle w:val="6"/>
        <w:rPr>
          <w:b/>
          <w:sz w:val="24"/>
        </w:rPr>
      </w:pPr>
    </w:p>
    <w:p>
      <w:pPr>
        <w:pStyle w:val="6"/>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ind w:left="620"/>
        <w:rPr>
          <w:rFonts w:ascii="宋体" w:hAnsi="宋体" w:eastAsia="宋体" w:cs="宋体"/>
          <w:b/>
          <w:sz w:val="24"/>
        </w:rPr>
        <w:sectPr>
          <w:pgSz w:w="11910" w:h="16850"/>
          <w:pgMar w:top="1600" w:right="260" w:bottom="760" w:left="1360" w:header="0" w:footer="490" w:gutter="0"/>
          <w:cols w:space="720" w:num="1"/>
        </w:sectPr>
      </w:pPr>
    </w:p>
    <w:p>
      <w:pPr>
        <w:pStyle w:val="6"/>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6"/>
        <w:rPr>
          <w:b/>
          <w:sz w:val="24"/>
        </w:rPr>
      </w:pPr>
    </w:p>
    <w:p>
      <w:pPr>
        <w:pStyle w:val="6"/>
        <w:spacing w:before="11"/>
        <w:rPr>
          <w:b/>
          <w:sz w:val="24"/>
        </w:rPr>
      </w:pPr>
    </w:p>
    <w:p>
      <w:pPr>
        <w:pStyle w:val="11"/>
        <w:spacing w:line="360" w:lineRule="auto"/>
        <w:rPr>
          <w:rFonts w:ascii="宋体" w:hAnsi="宋体" w:eastAsia="宋体"/>
          <w:color w:val="auto"/>
          <w:sz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致：</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（招标人）</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我们收到贵司</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招标文件，经认真研究，我们决定参加投标。现我司同意：</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①投标总价为人民币大写：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元，小写：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元，工期为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（日历天），质量要求为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，项目负责人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②根据招标文件的规定，我们承诺承担招标文件规定的责任和义务。</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述文件并同意放弃对这方面有不明及误解的权利。</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 xml:space="preserve">④本投标书自投标截止之日起 </w:t>
      </w:r>
      <w:r>
        <w:rPr>
          <w:rFonts w:hint="eastAsia" w:ascii="宋体" w:hAnsi="宋体" w:eastAsia="宋体"/>
          <w:color w:val="auto"/>
          <w:sz w:val="24"/>
          <w:szCs w:val="24"/>
          <w:u w:val="single"/>
        </w:rPr>
        <w:t xml:space="preserve">45 </w:t>
      </w:r>
      <w:r>
        <w:rPr>
          <w:rFonts w:hint="eastAsia" w:ascii="宋体" w:hAnsi="宋体" w:eastAsia="宋体"/>
          <w:color w:val="auto"/>
          <w:sz w:val="24"/>
          <w:szCs w:val="24"/>
        </w:rPr>
        <w:t>天内有效。</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解招标人不一定授标给最低报价的承包人以及接受或拒绝某一投标。</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量完成交货任务并承担相关责任。</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⑦与投标有关的正式通讯地址为：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地   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电   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传   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邮政编码：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公   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承包人法定代表人或委托代理人（</w:t>
      </w:r>
      <w:r>
        <w:rPr>
          <w:rFonts w:hint="eastAsia" w:ascii="宋体" w:hAnsi="宋体"/>
          <w:color w:val="auto"/>
          <w:sz w:val="24"/>
          <w:szCs w:val="24"/>
        </w:rPr>
        <w:t>签字或盖章）</w:t>
      </w:r>
      <w:r>
        <w:rPr>
          <w:rFonts w:hint="eastAsia"/>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日   期：</w:t>
      </w:r>
    </w:p>
    <w:p>
      <w:pPr>
        <w:spacing w:line="364" w:lineRule="auto"/>
        <w:sectPr>
          <w:pgSz w:w="11910" w:h="16850"/>
          <w:pgMar w:top="1600" w:right="260" w:bottom="760" w:left="1360" w:header="0" w:footer="570" w:gutter="0"/>
          <w:cols w:space="720" w:num="1"/>
        </w:sectPr>
      </w:pPr>
      <w:r>
        <w:rPr>
          <w:rFonts w:hAnsi="宋体"/>
          <w:color w:val="auto"/>
          <w:sz w:val="24"/>
          <w:u w:val="single"/>
        </w:rPr>
        <w:br w:type="page"/>
      </w:r>
    </w:p>
    <w:p>
      <w:pPr>
        <w:tabs>
          <w:tab w:val="left" w:pos="1087"/>
          <w:tab w:val="left" w:pos="1689"/>
        </w:tabs>
        <w:spacing w:before="67"/>
        <w:ind w:right="613"/>
        <w:jc w:val="center"/>
        <w:rPr>
          <w:b/>
          <w:sz w:val="24"/>
        </w:rPr>
      </w:pPr>
      <w:r>
        <w:rPr>
          <w:b/>
          <w:sz w:val="24"/>
        </w:rP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rPr>
          <w:sz w:val="20"/>
        </w:rPr>
      </w:pPr>
    </w:p>
    <w:p>
      <w:pPr>
        <w:pStyle w:val="4"/>
        <w:spacing w:before="209"/>
        <w:ind w:left="862"/>
      </w:pPr>
      <w:r>
        <w:t>特此证明。</w:t>
      </w:r>
    </w:p>
    <w:p>
      <w:pPr>
        <w:pStyle w:val="4"/>
        <w:spacing w:before="161"/>
        <w:ind w:left="0" w:right="1098"/>
        <w:jc w:val="center"/>
      </w:pPr>
      <w:r>
        <w:t>承包人：(盖章)</w:t>
      </w:r>
    </w:p>
    <w:p>
      <w:pPr>
        <w:pStyle w:val="6"/>
        <w:rPr>
          <w:sz w:val="24"/>
        </w:rPr>
      </w:pPr>
    </w:p>
    <w:p>
      <w:pPr>
        <w:pStyle w:val="6"/>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
      <w:pPr>
        <w:jc w:val="center"/>
      </w:pPr>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ascii="宋体" w:hAnsi="宋体"/>
          <w:b/>
          <w:bCs w:val="0"/>
          <w:color w:val="auto"/>
          <w:sz w:val="22"/>
          <w:szCs w:val="22"/>
        </w:rPr>
        <w:t>附法定代表人身份证复印件（正反面）</w:t>
      </w:r>
    </w:p>
    <w:p>
      <w:pPr>
        <w:tabs>
          <w:tab w:val="left" w:pos="1087"/>
          <w:tab w:val="left" w:pos="1689"/>
        </w:tabs>
        <w:spacing w:before="67"/>
        <w:ind w:right="613"/>
        <w:jc w:val="center"/>
        <w:rPr>
          <w:rFonts w:ascii="宋体" w:hAnsi="宋体" w:eastAsia="宋体" w:cs="宋体"/>
          <w:b/>
          <w:sz w:val="24"/>
        </w:rPr>
      </w:pPr>
      <w:r>
        <w:rPr>
          <w:rFonts w:ascii="宋体" w:hAnsi="宋体" w:eastAsia="宋体" w:cs="宋体"/>
          <w:b/>
          <w:sz w:val="24"/>
        </w:rPr>
        <w:t>投标承诺书</w:t>
      </w:r>
    </w:p>
    <w:p>
      <w:pPr>
        <w:pStyle w:val="6"/>
        <w:rPr>
          <w:b/>
          <w:sz w:val="28"/>
        </w:rPr>
      </w:pPr>
    </w:p>
    <w:p>
      <w:pPr>
        <w:pStyle w:val="6"/>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6"/>
        <w:rPr>
          <w:sz w:val="24"/>
        </w:rPr>
      </w:pPr>
    </w:p>
    <w:p>
      <w:pPr>
        <w:pStyle w:val="4"/>
        <w:tabs>
          <w:tab w:val="left" w:pos="1393"/>
        </w:tabs>
        <w:spacing w:before="156"/>
        <w:ind w:left="913"/>
      </w:pPr>
      <w:r>
        <w:t>公</w:t>
      </w:r>
      <w:r>
        <w:tab/>
      </w:r>
      <w:r>
        <w:t>章：</w:t>
      </w:r>
    </w:p>
    <w:p>
      <w:pPr>
        <w:pStyle w:val="6"/>
        <w:rPr>
          <w:sz w:val="24"/>
        </w:rPr>
      </w:pPr>
    </w:p>
    <w:p>
      <w:pPr>
        <w:pStyle w:val="6"/>
        <w:rPr>
          <w:sz w:val="24"/>
        </w:rPr>
      </w:pPr>
    </w:p>
    <w:p>
      <w:pPr>
        <w:pStyle w:val="6"/>
        <w:rPr>
          <w:sz w:val="24"/>
        </w:rPr>
      </w:pPr>
    </w:p>
    <w:p>
      <w:pPr>
        <w:pStyle w:val="4"/>
        <w:tabs>
          <w:tab w:val="left" w:pos="8419"/>
        </w:tabs>
        <w:spacing w:before="170"/>
        <w:ind w:left="913"/>
        <w:rPr>
          <w:rFonts w:ascii="Times New Roman" w:eastAsia="Times New Roman"/>
        </w:rPr>
      </w:pPr>
      <w:r>
        <w:t>企业法定代表人</w:t>
      </w:r>
      <w:r>
        <w:rPr>
          <w:rFonts w:hint="eastAsia"/>
          <w:lang w:eastAsia="zh-CN"/>
        </w:rPr>
        <w:t>（</w:t>
      </w:r>
      <w:r>
        <w:rPr>
          <w:rFonts w:hint="eastAsia"/>
          <w:lang w:val="en-US" w:eastAsia="zh-CN"/>
        </w:rPr>
        <w:t>签字或盖章</w:t>
      </w:r>
      <w:r>
        <w:rPr>
          <w:rFonts w:hint="eastAsia"/>
          <w:lang w:eastAsia="zh-CN"/>
        </w:rPr>
        <w:t>）</w:t>
      </w:r>
      <w:r>
        <w:t>：</w:t>
      </w:r>
      <w:r>
        <w:rPr>
          <w:rFonts w:ascii="Times New Roman" w:eastAsia="Times New Roman"/>
          <w:u w:val="single"/>
        </w:rPr>
        <w:tab/>
      </w: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tabs>
          <w:tab w:val="left" w:pos="1087"/>
          <w:tab w:val="left" w:pos="1689"/>
        </w:tabs>
        <w:spacing w:before="67"/>
        <w:ind w:right="613"/>
        <w:jc w:val="center"/>
        <w:rPr>
          <w:b/>
          <w:sz w:val="24"/>
        </w:rPr>
      </w:pPr>
      <w:r>
        <w:rPr>
          <w:b/>
          <w:sz w:val="24"/>
        </w:rP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rPr>
          <w:rFonts w:hint="eastAsia"/>
          <w:lang w:val="en-US" w:eastAsia="zh-CN"/>
        </w:rPr>
        <w:t xml:space="preserve">   </w:t>
      </w:r>
      <w:r>
        <w:t>性别：</w:t>
      </w:r>
      <w:r>
        <w:tab/>
      </w:r>
      <w:r>
        <w:rPr>
          <w:rFonts w:hint="eastAsia"/>
          <w:lang w:val="en-US" w:eastAsia="zh-CN"/>
        </w:rPr>
        <w:t xml:space="preserve"> </w:t>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6"/>
        <w:rPr>
          <w:sz w:val="24"/>
        </w:rPr>
      </w:pPr>
    </w:p>
    <w:p>
      <w:pPr>
        <w:pStyle w:val="6"/>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18"/>
      </w:pPr>
    </w:p>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hAnsi="宋体"/>
          <w:b/>
          <w:bCs w:val="0"/>
          <w:color w:val="auto"/>
          <w:sz w:val="22"/>
          <w:szCs w:val="22"/>
        </w:rPr>
        <w:t>附</w:t>
      </w:r>
      <w:r>
        <w:rPr>
          <w:rFonts w:hint="eastAsia" w:hAnsi="宋体"/>
          <w:b/>
          <w:bCs w:val="0"/>
          <w:color w:val="auto"/>
          <w:szCs w:val="21"/>
        </w:rPr>
        <w:t>代理人</w:t>
      </w:r>
      <w:r>
        <w:rPr>
          <w:rFonts w:hint="eastAsia" w:hAnsi="宋体"/>
          <w:b/>
          <w:bCs w:val="0"/>
          <w:color w:val="auto"/>
          <w:sz w:val="22"/>
          <w:szCs w:val="22"/>
        </w:rPr>
        <w:t>身份证复印件（正反面）</w:t>
      </w:r>
    </w:p>
    <w:p>
      <w:pPr>
        <w:pStyle w:val="6"/>
        <w:spacing w:before="10"/>
        <w:rPr>
          <w:sz w:val="18"/>
        </w:rPr>
      </w:pPr>
    </w:p>
    <w:p>
      <w:pPr>
        <w:pStyle w:val="4"/>
        <w:spacing w:before="67"/>
        <w:ind w:left="0" w:leftChars="0" w:right="2493" w:firstLine="0" w:firstLineChars="0"/>
        <w:jc w:val="center"/>
        <w:rPr>
          <w:rFonts w:ascii="宋体" w:hAnsi="宋体" w:eastAsia="宋体" w:cs="宋体"/>
          <w:b/>
          <w:sz w:val="24"/>
          <w:szCs w:val="22"/>
          <w:lang w:val="zh-CN" w:eastAsia="zh-CN" w:bidi="zh-CN"/>
        </w:rPr>
      </w:pPr>
      <w:r>
        <w:rPr>
          <w:rFonts w:hint="eastAsia"/>
          <w:lang w:val="en-US" w:eastAsia="zh-CN"/>
        </w:rPr>
        <w:t xml:space="preserve">     </w:t>
      </w:r>
      <w:r>
        <w:rPr>
          <w:rFonts w:hint="eastAsia" w:ascii="宋体" w:hAnsi="宋体" w:eastAsia="宋体" w:cs="宋体"/>
          <w:b/>
          <w:sz w:val="24"/>
          <w:szCs w:val="22"/>
          <w:lang w:val="en-US" w:eastAsia="zh-CN" w:bidi="zh-CN"/>
        </w:rPr>
        <w:t xml:space="preserve">  </w:t>
      </w:r>
      <w:r>
        <w:rPr>
          <w:rFonts w:ascii="宋体" w:hAnsi="宋体" w:eastAsia="宋体" w:cs="宋体"/>
          <w:b/>
          <w:sz w:val="24"/>
          <w:szCs w:val="22"/>
          <w:lang w:val="zh-CN" w:eastAsia="zh-CN" w:bidi="zh-CN"/>
        </w:rPr>
        <w:t>四、投标报价汇总表</w:t>
      </w:r>
    </w:p>
    <w:p>
      <w:pPr>
        <w:pStyle w:val="6"/>
        <w:rPr>
          <w:sz w:val="20"/>
        </w:rPr>
      </w:pPr>
    </w:p>
    <w:p>
      <w:pPr>
        <w:pStyle w:val="6"/>
        <w:rPr>
          <w:sz w:val="20"/>
        </w:rPr>
      </w:pPr>
    </w:p>
    <w:p>
      <w:pPr>
        <w:pStyle w:val="6"/>
        <w:rPr>
          <w:sz w:val="20"/>
        </w:rPr>
      </w:pPr>
    </w:p>
    <w:p>
      <w:pPr>
        <w:spacing w:line="360" w:lineRule="auto"/>
        <w:jc w:val="center"/>
        <w:rPr>
          <w:rFonts w:ascii="宋体" w:hAnsi="宋体" w:eastAsia="宋体" w:cs="宋体"/>
          <w:sz w:val="24"/>
        </w:rPr>
      </w:pPr>
      <w:r>
        <w:rPr>
          <w:rFonts w:hint="eastAsia" w:ascii="宋体" w:hAnsi="宋体" w:eastAsia="宋体" w:cs="宋体"/>
          <w:b/>
          <w:bCs/>
          <w:sz w:val="24"/>
        </w:rPr>
        <w:t>1.报价汇总表</w:t>
      </w:r>
    </w:p>
    <w:p>
      <w:pPr>
        <w:pStyle w:val="6"/>
        <w:rPr>
          <w:sz w:val="20"/>
        </w:rPr>
      </w:pPr>
    </w:p>
    <w:p>
      <w:pPr>
        <w:pStyle w:val="6"/>
        <w:rPr>
          <w:sz w:val="20"/>
        </w:rPr>
      </w:pPr>
    </w:p>
    <w:p>
      <w:pPr>
        <w:pStyle w:val="6"/>
        <w:rPr>
          <w:sz w:val="20"/>
        </w:rPr>
      </w:pPr>
    </w:p>
    <w:p>
      <w:pPr>
        <w:pStyle w:val="6"/>
        <w:rPr>
          <w:sz w:val="20"/>
        </w:rPr>
      </w:pPr>
    </w:p>
    <w:p>
      <w:pPr>
        <w:pStyle w:val="6"/>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1"/>
              <w:ind w:left="107"/>
              <w:jc w:val="both"/>
              <w:rPr>
                <w:sz w:val="24"/>
              </w:rPr>
            </w:pPr>
            <w:r>
              <w:rPr>
                <w:sz w:val="24"/>
              </w:rPr>
              <w:t>投标单位名称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1"/>
              <w:spacing w:line="307" w:lineRule="exact"/>
              <w:ind w:left="107"/>
              <w:jc w:val="both"/>
              <w:rPr>
                <w:sz w:val="24"/>
              </w:rPr>
            </w:pPr>
            <w:r>
              <w:rPr>
                <w:sz w:val="24"/>
              </w:rPr>
              <w:t>投标项目名称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1"/>
              <w:spacing w:line="307" w:lineRule="exact"/>
              <w:ind w:left="107"/>
              <w:jc w:val="both"/>
              <w:rPr>
                <w:sz w:val="24"/>
              </w:rPr>
            </w:pPr>
            <w:r>
              <w:rPr>
                <w:sz w:val="24"/>
              </w:rPr>
              <w:t>投标总价</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sz w:val="24"/>
              </w:rPr>
            </w:pPr>
            <w:r>
              <w:rPr>
                <w:sz w:val="24"/>
              </w:rPr>
              <w:t>投标工期</w:t>
            </w:r>
          </w:p>
        </w:tc>
        <w:tc>
          <w:tcPr>
            <w:tcW w:w="2465" w:type="dxa"/>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1"/>
              <w:spacing w:line="307" w:lineRule="exact"/>
              <w:ind w:left="107"/>
              <w:jc w:val="both"/>
              <w:rPr>
                <w:sz w:val="24"/>
              </w:rPr>
            </w:pPr>
            <w:r>
              <w:rPr>
                <w:sz w:val="24"/>
              </w:rPr>
              <w:t>投标质量等级</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1"/>
              <w:jc w:val="both"/>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w:t>
      </w:r>
      <w:r>
        <w:rPr>
          <w:rFonts w:hint="eastAsia" w:ascii="宋体" w:hAnsi="宋体"/>
          <w:color w:val="auto"/>
          <w:szCs w:val="21"/>
        </w:rPr>
        <w:t>签字或盖章</w:t>
      </w:r>
      <w:r>
        <w:t>）：</w:t>
      </w:r>
    </w:p>
    <w:p>
      <w:pPr>
        <w:pStyle w:val="6"/>
        <w:rPr>
          <w:sz w:val="20"/>
        </w:rPr>
      </w:pPr>
    </w:p>
    <w:p>
      <w:pPr>
        <w:pStyle w:val="6"/>
        <w:spacing w:before="9"/>
        <w:rPr>
          <w:sz w:val="23"/>
        </w:rPr>
      </w:pPr>
    </w:p>
    <w:p>
      <w:pPr>
        <w:pStyle w:val="4"/>
        <w:tabs>
          <w:tab w:val="left" w:pos="6323"/>
          <w:tab w:val="left" w:pos="7283"/>
        </w:tabs>
        <w:spacing w:before="66"/>
        <w:ind w:left="5363"/>
      </w:pPr>
      <w:r>
        <w:t>年</w:t>
      </w:r>
      <w:r>
        <w:tab/>
      </w:r>
      <w:r>
        <w:t>月</w:t>
      </w:r>
      <w:r>
        <w:tab/>
      </w:r>
      <w:r>
        <w:t>日</w:t>
      </w:r>
    </w:p>
    <w:p/>
    <w:p>
      <w:pPr>
        <w:pStyle w:val="18"/>
      </w:pPr>
    </w:p>
    <w:p>
      <w:pPr>
        <w:spacing w:line="360" w:lineRule="auto"/>
        <w:jc w:val="center"/>
        <w:rPr>
          <w:rFonts w:hint="eastAsia" w:ascii="宋体" w:hAnsi="宋体"/>
          <w:b/>
          <w:bCs/>
          <w:sz w:val="24"/>
        </w:rPr>
      </w:pPr>
      <w:bookmarkStart w:id="27" w:name="_GoBack"/>
      <w:bookmarkEnd w:id="27"/>
      <w:r>
        <w:rPr>
          <w:rFonts w:hint="eastAsia" w:ascii="宋体" w:hAnsi="宋体"/>
          <w:b/>
          <w:bCs/>
          <w:sz w:val="24"/>
        </w:rPr>
        <w:t>2.其他报价表</w:t>
      </w:r>
    </w:p>
    <w:p>
      <w:pPr>
        <w:spacing w:line="360" w:lineRule="auto"/>
        <w:jc w:val="center"/>
        <w:rPr>
          <w:rFonts w:ascii="宋体" w:hAnsi="宋体"/>
          <w:b/>
          <w:bCs/>
          <w:sz w:val="24"/>
        </w:rPr>
      </w:pPr>
      <w:r>
        <w:rPr>
          <w:rFonts w:hint="eastAsia" w:ascii="宋体" w:hAnsi="宋体"/>
          <w:b/>
          <w:bCs/>
          <w:sz w:val="24"/>
        </w:rPr>
        <w:t>根据招标人提供的工程量清单及招标控制价编制、提供，加盖报名企业公章</w:t>
      </w:r>
    </w:p>
    <w:p>
      <w:pPr>
        <w:pStyle w:val="18"/>
        <w:sectPr>
          <w:pgSz w:w="11910" w:h="16850"/>
          <w:pgMar w:top="1600" w:right="260" w:bottom="760" w:left="1360" w:header="0" w:footer="570" w:gutter="0"/>
          <w:cols w:space="720" w:num="1"/>
        </w:sectPr>
      </w:pPr>
    </w:p>
    <w:p>
      <w:pPr>
        <w:spacing w:before="21"/>
        <w:ind w:left="2603"/>
        <w:rPr>
          <w:b/>
          <w:sz w:val="44"/>
        </w:rPr>
      </w:pPr>
      <w:bookmarkStart w:id="26" w:name="_bookmark5"/>
      <w:bookmarkEnd w:id="26"/>
      <w:r>
        <w:rPr>
          <w:b/>
          <w:sz w:val="44"/>
        </w:rPr>
        <w:t>第</w:t>
      </w:r>
      <w:r>
        <w:rPr>
          <w:rFonts w:hint="eastAsia"/>
          <w:b/>
          <w:sz w:val="44"/>
          <w:lang w:eastAsia="zh-CN"/>
        </w:rPr>
        <w:t>五</w:t>
      </w:r>
      <w:r>
        <w:rPr>
          <w:b/>
          <w:sz w:val="44"/>
        </w:rPr>
        <w:t>章 评 标 细 则</w:t>
      </w:r>
    </w:p>
    <w:p>
      <w:pPr>
        <w:pStyle w:val="6"/>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w:t>
      </w:r>
      <w:r>
        <w:rPr>
          <w:rFonts w:hint="eastAsia" w:ascii="宋体"/>
          <w:b/>
          <w:bCs/>
          <w:color w:val="000000"/>
          <w:szCs w:val="21"/>
        </w:rPr>
        <w:t>95%、96%、97%、98%</w:t>
      </w:r>
      <w:r>
        <w:rPr>
          <w:rFonts w:hint="eastAsia" w:ascii="宋体"/>
          <w:color w:val="000000"/>
          <w:szCs w:val="21"/>
        </w:rPr>
        <w:t>。等于评标基准价得最高分（100 分），并以此为基</w:t>
      </w:r>
      <w:r>
        <w:rPr>
          <w:rFonts w:hint="eastAsia" w:ascii="宋体"/>
          <w:color w:val="000000"/>
          <w:szCs w:val="21"/>
          <w:highlight w:val="none"/>
        </w:rPr>
        <w:t>准确定其他投标人的价格</w:t>
      </w:r>
      <w:r>
        <w:rPr>
          <w:rFonts w:hint="eastAsia" w:ascii="宋体"/>
          <w:color w:val="000000"/>
          <w:szCs w:val="21"/>
        </w:rPr>
        <w:t>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 xml:space="preserve">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w:t>
      </w:r>
      <w:r>
        <w:rPr>
          <w:rFonts w:hint="eastAsia" w:ascii="宋体" w:hAnsi="宋体" w:eastAsia="宋体" w:cs="宋体"/>
          <w:szCs w:val="21"/>
          <w:highlight w:val="none"/>
        </w:rPr>
        <w:t>（Q1的取值范围为</w:t>
      </w:r>
      <w:r>
        <w:rPr>
          <w:rFonts w:hint="eastAsia" w:ascii="宋体" w:hAnsi="宋体" w:eastAsia="宋体" w:cs="宋体"/>
          <w:b/>
          <w:bCs/>
          <w:szCs w:val="21"/>
          <w:highlight w:val="none"/>
        </w:rPr>
        <w:t>65%、70%、75%、80%、85%</w:t>
      </w:r>
      <w:r>
        <w:rPr>
          <w:rFonts w:hint="eastAsia" w:ascii="宋体" w:hAnsi="宋体" w:eastAsia="宋体" w:cs="宋体"/>
          <w:szCs w:val="21"/>
          <w:highlight w:val="none"/>
        </w:rPr>
        <w:t>；K1 的取值范</w:t>
      </w:r>
      <w:r>
        <w:rPr>
          <w:rFonts w:hint="eastAsia" w:ascii="宋体" w:hAnsi="宋体" w:eastAsia="宋体" w:cs="宋体"/>
          <w:szCs w:val="21"/>
        </w:rPr>
        <w:t>围为</w:t>
      </w:r>
      <w:r>
        <w:rPr>
          <w:rFonts w:hint="eastAsia" w:ascii="宋体" w:hAnsi="宋体" w:eastAsia="宋体" w:cs="宋体"/>
          <w:b/>
          <w:bCs/>
          <w:szCs w:val="21"/>
        </w:rPr>
        <w:t xml:space="preserve"> 95%、96%、97%、98%</w:t>
      </w:r>
      <w:r>
        <w:rPr>
          <w:rFonts w:hint="eastAsia" w:ascii="宋体" w:hAnsi="宋体" w:eastAsia="宋体" w:cs="宋体"/>
          <w:szCs w:val="21"/>
        </w:rPr>
        <w:t>；Q1、K1 值在清标后由投标人推选的代表</w:t>
      </w:r>
      <w:r>
        <w:rPr>
          <w:rFonts w:hint="eastAsia" w:ascii="宋体" w:hAnsi="宋体" w:eastAsia="宋体" w:cs="宋体"/>
          <w:szCs w:val="21"/>
          <w:highlight w:val="none"/>
        </w:rPr>
        <w:t>随机抽取确定</w:t>
      </w:r>
      <w:r>
        <w:rPr>
          <w:rFonts w:hint="eastAsia" w:ascii="宋体" w:hAnsi="宋体" w:eastAsia="宋体" w:cs="宋体"/>
          <w:szCs w:val="21"/>
          <w:highlight w:val="none"/>
          <w:lang w:eastAsia="zh-CN"/>
        </w:rPr>
        <w:t>。</w:t>
      </w:r>
      <w:r>
        <w:rPr>
          <w:rFonts w:hint="eastAsia" w:ascii="宋体" w:hAnsi="宋体" w:eastAsia="宋体" w:cs="宋体"/>
          <w:szCs w:val="21"/>
          <w:highlight w:val="none"/>
        </w:rPr>
        <w:t>K2 的取值为</w:t>
      </w:r>
      <w:r>
        <w:rPr>
          <w:rFonts w:hint="eastAsia" w:ascii="宋体" w:hAnsi="宋体" w:eastAsia="宋体" w:cs="宋体"/>
          <w:szCs w:val="21"/>
          <w:highlight w:val="none"/>
          <w:lang w:val="en-US" w:eastAsia="zh-CN"/>
        </w:rPr>
        <w:t>100</w:t>
      </w:r>
      <w:r>
        <w:rPr>
          <w:rFonts w:hint="eastAsia" w:ascii="宋体" w:hAnsi="宋体" w:eastAsia="宋体" w:cs="宋体"/>
          <w:szCs w:val="21"/>
          <w:highlight w:val="none"/>
        </w:rPr>
        <w:t>%。等于评</w:t>
      </w:r>
      <w:r>
        <w:rPr>
          <w:rFonts w:hint="eastAsia" w:ascii="宋体" w:hAnsi="宋体" w:eastAsia="宋体" w:cs="宋体"/>
          <w:szCs w:val="21"/>
        </w:rPr>
        <w:t>标基准价得最高分（100分）</w:t>
      </w:r>
      <w:r>
        <w:rPr>
          <w:rFonts w:hint="eastAsia" w:ascii="宋体" w:hAnsi="宋体" w:eastAsia="宋体" w:cs="宋体"/>
          <w:szCs w:val="21"/>
          <w:lang w:eastAsia="zh-CN"/>
        </w:rPr>
        <w:t>）</w:t>
      </w:r>
      <w:r>
        <w:rPr>
          <w:rFonts w:hint="eastAsia" w:ascii="宋体" w:hAnsi="宋体" w:eastAsia="宋体" w:cs="宋体"/>
          <w:szCs w:val="21"/>
        </w:rPr>
        <w:t>，并以此为基准价确定其他投标人的价格得分：投标价格高于该基准价的，每高1%扣0.9分；投标价格低于该基准价的，每低1%扣0.6分。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2"/>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_x0000_s2053" o:spid="_x0000_s2053" o:spt="202" type="#_x0000_t202" style="position:absolute;left:0pt;margin-left:291.2pt;margin-top:802.5pt;height:12pt;width:13.15pt;mso-position-horizontal-relative:page;mso-position-vertical-relative:page;z-index:-251651072;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_x0000_s2054" o:spid="_x0000_s2054" o:spt="202" type="#_x0000_t202" style="position:absolute;left:0pt;margin-left:291.2pt;margin-top:802.5pt;height:12pt;width:13.15pt;mso-position-horizontal-relative:page;mso-position-vertical-relative:page;z-index:-25165004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YxMGU2ZWNiZDNiYjIxYWVlODUzMzkwNTJlZTNlZj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8877FA"/>
    <w:rsid w:val="009B3A10"/>
    <w:rsid w:val="00A06564"/>
    <w:rsid w:val="00A440FB"/>
    <w:rsid w:val="00A615EA"/>
    <w:rsid w:val="00AE6536"/>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6B96737"/>
    <w:rsid w:val="07185A8B"/>
    <w:rsid w:val="07A80D8A"/>
    <w:rsid w:val="082A5712"/>
    <w:rsid w:val="0837186E"/>
    <w:rsid w:val="08555EF5"/>
    <w:rsid w:val="086A426E"/>
    <w:rsid w:val="08CC67C9"/>
    <w:rsid w:val="098A46BA"/>
    <w:rsid w:val="098E2C3E"/>
    <w:rsid w:val="0A5D1DCF"/>
    <w:rsid w:val="0A682522"/>
    <w:rsid w:val="0B016CB2"/>
    <w:rsid w:val="0B5331D2"/>
    <w:rsid w:val="0BA72DBB"/>
    <w:rsid w:val="0CC51EAD"/>
    <w:rsid w:val="0E2324C0"/>
    <w:rsid w:val="0F3B4AB4"/>
    <w:rsid w:val="10125409"/>
    <w:rsid w:val="10601AD0"/>
    <w:rsid w:val="10A150E7"/>
    <w:rsid w:val="10AB4FCC"/>
    <w:rsid w:val="11347E14"/>
    <w:rsid w:val="117153F0"/>
    <w:rsid w:val="118664C4"/>
    <w:rsid w:val="122B630F"/>
    <w:rsid w:val="134123B7"/>
    <w:rsid w:val="13476B0A"/>
    <w:rsid w:val="13E32549"/>
    <w:rsid w:val="13FA792A"/>
    <w:rsid w:val="14043D19"/>
    <w:rsid w:val="14A8576C"/>
    <w:rsid w:val="15826B8D"/>
    <w:rsid w:val="15AA7E92"/>
    <w:rsid w:val="15BF56EC"/>
    <w:rsid w:val="160F3269"/>
    <w:rsid w:val="169923E1"/>
    <w:rsid w:val="16BA072E"/>
    <w:rsid w:val="16DE5E61"/>
    <w:rsid w:val="16F654BA"/>
    <w:rsid w:val="172D6703"/>
    <w:rsid w:val="17450FAA"/>
    <w:rsid w:val="174B2FAF"/>
    <w:rsid w:val="17516470"/>
    <w:rsid w:val="179535D8"/>
    <w:rsid w:val="18116837"/>
    <w:rsid w:val="18141C0B"/>
    <w:rsid w:val="189D6974"/>
    <w:rsid w:val="18F32230"/>
    <w:rsid w:val="18FE477D"/>
    <w:rsid w:val="19646447"/>
    <w:rsid w:val="1A9E5A71"/>
    <w:rsid w:val="1BBC75DE"/>
    <w:rsid w:val="1CEC058E"/>
    <w:rsid w:val="1DD403C1"/>
    <w:rsid w:val="1E915E5E"/>
    <w:rsid w:val="1EF65EF6"/>
    <w:rsid w:val="1F4F137F"/>
    <w:rsid w:val="1F877755"/>
    <w:rsid w:val="1FA70967"/>
    <w:rsid w:val="1FF52893"/>
    <w:rsid w:val="20B50445"/>
    <w:rsid w:val="20EA17DA"/>
    <w:rsid w:val="21660B41"/>
    <w:rsid w:val="23964D08"/>
    <w:rsid w:val="23E80503"/>
    <w:rsid w:val="23F40932"/>
    <w:rsid w:val="24552B69"/>
    <w:rsid w:val="245D3C08"/>
    <w:rsid w:val="248A215B"/>
    <w:rsid w:val="253357AE"/>
    <w:rsid w:val="25F03412"/>
    <w:rsid w:val="267C535F"/>
    <w:rsid w:val="26FE1DEC"/>
    <w:rsid w:val="27B626C7"/>
    <w:rsid w:val="28461C9C"/>
    <w:rsid w:val="28546167"/>
    <w:rsid w:val="287A3E7B"/>
    <w:rsid w:val="28FB7C0D"/>
    <w:rsid w:val="294322EC"/>
    <w:rsid w:val="296B47E6"/>
    <w:rsid w:val="2A297162"/>
    <w:rsid w:val="2A45570B"/>
    <w:rsid w:val="2A7C77F5"/>
    <w:rsid w:val="2B073965"/>
    <w:rsid w:val="2B8A6011"/>
    <w:rsid w:val="2CBD6C18"/>
    <w:rsid w:val="2CF15C52"/>
    <w:rsid w:val="2D56454A"/>
    <w:rsid w:val="2D5A7820"/>
    <w:rsid w:val="2DD02F51"/>
    <w:rsid w:val="2F841D58"/>
    <w:rsid w:val="2FA64655"/>
    <w:rsid w:val="305A5585"/>
    <w:rsid w:val="30873D0E"/>
    <w:rsid w:val="31626CDE"/>
    <w:rsid w:val="31927203"/>
    <w:rsid w:val="31BC7063"/>
    <w:rsid w:val="32DF30C5"/>
    <w:rsid w:val="333A41AC"/>
    <w:rsid w:val="34B5252E"/>
    <w:rsid w:val="34C5219B"/>
    <w:rsid w:val="34FF38FF"/>
    <w:rsid w:val="351F7AFD"/>
    <w:rsid w:val="358D4A67"/>
    <w:rsid w:val="35E0728C"/>
    <w:rsid w:val="35EB2AAD"/>
    <w:rsid w:val="360F1920"/>
    <w:rsid w:val="361E7DB5"/>
    <w:rsid w:val="363B013E"/>
    <w:rsid w:val="36607655"/>
    <w:rsid w:val="36C975DC"/>
    <w:rsid w:val="37240E0C"/>
    <w:rsid w:val="37BC37FB"/>
    <w:rsid w:val="38203BCF"/>
    <w:rsid w:val="3844291B"/>
    <w:rsid w:val="3A2B6F44"/>
    <w:rsid w:val="3B3A743F"/>
    <w:rsid w:val="3BB75D48"/>
    <w:rsid w:val="3C130059"/>
    <w:rsid w:val="3CC80185"/>
    <w:rsid w:val="3D8F0C78"/>
    <w:rsid w:val="3E1F2644"/>
    <w:rsid w:val="3E335F79"/>
    <w:rsid w:val="3EF913BF"/>
    <w:rsid w:val="3F6F1B61"/>
    <w:rsid w:val="40B75D25"/>
    <w:rsid w:val="40FD201B"/>
    <w:rsid w:val="41B31CF9"/>
    <w:rsid w:val="42674891"/>
    <w:rsid w:val="429625A4"/>
    <w:rsid w:val="42B806E8"/>
    <w:rsid w:val="42E8093F"/>
    <w:rsid w:val="434019E2"/>
    <w:rsid w:val="44755244"/>
    <w:rsid w:val="45AC15BB"/>
    <w:rsid w:val="462574B0"/>
    <w:rsid w:val="46DF533E"/>
    <w:rsid w:val="46E2098A"/>
    <w:rsid w:val="47410B39"/>
    <w:rsid w:val="476B0980"/>
    <w:rsid w:val="4794282D"/>
    <w:rsid w:val="483B5D30"/>
    <w:rsid w:val="48AE6960"/>
    <w:rsid w:val="494A6A1A"/>
    <w:rsid w:val="497E6906"/>
    <w:rsid w:val="4AF64A04"/>
    <w:rsid w:val="4D521B6D"/>
    <w:rsid w:val="4D610BBB"/>
    <w:rsid w:val="4DF91468"/>
    <w:rsid w:val="4E0C15F8"/>
    <w:rsid w:val="4F8F38FE"/>
    <w:rsid w:val="4FAC101D"/>
    <w:rsid w:val="50A50DD3"/>
    <w:rsid w:val="51EE2D76"/>
    <w:rsid w:val="5223331E"/>
    <w:rsid w:val="525340A9"/>
    <w:rsid w:val="525F4F02"/>
    <w:rsid w:val="529C2921"/>
    <w:rsid w:val="52E30126"/>
    <w:rsid w:val="54297BF9"/>
    <w:rsid w:val="542A277F"/>
    <w:rsid w:val="549D245B"/>
    <w:rsid w:val="54C44CF2"/>
    <w:rsid w:val="55047571"/>
    <w:rsid w:val="55942B9B"/>
    <w:rsid w:val="56F3629C"/>
    <w:rsid w:val="578F06BB"/>
    <w:rsid w:val="57C57C38"/>
    <w:rsid w:val="57DC2A49"/>
    <w:rsid w:val="59D65A17"/>
    <w:rsid w:val="5A094754"/>
    <w:rsid w:val="5A477FF9"/>
    <w:rsid w:val="5ADD173D"/>
    <w:rsid w:val="5B326D2F"/>
    <w:rsid w:val="5B743E4F"/>
    <w:rsid w:val="5BD62414"/>
    <w:rsid w:val="5C415CFF"/>
    <w:rsid w:val="5DB93D9B"/>
    <w:rsid w:val="5F996256"/>
    <w:rsid w:val="60AC7BE7"/>
    <w:rsid w:val="60BA2E32"/>
    <w:rsid w:val="60D615F4"/>
    <w:rsid w:val="61D65209"/>
    <w:rsid w:val="62947803"/>
    <w:rsid w:val="639D3541"/>
    <w:rsid w:val="64025910"/>
    <w:rsid w:val="64D5744C"/>
    <w:rsid w:val="64E90C97"/>
    <w:rsid w:val="652238BE"/>
    <w:rsid w:val="657F3C3F"/>
    <w:rsid w:val="667C005C"/>
    <w:rsid w:val="667C54A2"/>
    <w:rsid w:val="669B1A5C"/>
    <w:rsid w:val="68874E3E"/>
    <w:rsid w:val="692557EA"/>
    <w:rsid w:val="69A601A6"/>
    <w:rsid w:val="6B2A4F83"/>
    <w:rsid w:val="6BAF4FF4"/>
    <w:rsid w:val="6BEB23AF"/>
    <w:rsid w:val="6BF65F85"/>
    <w:rsid w:val="6CAD71C1"/>
    <w:rsid w:val="6CC86454"/>
    <w:rsid w:val="6E394266"/>
    <w:rsid w:val="6F2179F2"/>
    <w:rsid w:val="6F2C76BD"/>
    <w:rsid w:val="7043674F"/>
    <w:rsid w:val="711802B3"/>
    <w:rsid w:val="71B73BE8"/>
    <w:rsid w:val="7268687E"/>
    <w:rsid w:val="742C30C1"/>
    <w:rsid w:val="74FB5BC5"/>
    <w:rsid w:val="75976C60"/>
    <w:rsid w:val="75DD6A46"/>
    <w:rsid w:val="76DF266D"/>
    <w:rsid w:val="7A4078C7"/>
    <w:rsid w:val="7BD501DB"/>
    <w:rsid w:val="7DE70B22"/>
    <w:rsid w:val="7DF86079"/>
    <w:rsid w:val="7EA85A3A"/>
    <w:rsid w:val="7EED037F"/>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2">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autoRedefine/>
    <w:qFormat/>
    <w:uiPriority w:val="1"/>
    <w:rPr>
      <w:sz w:val="21"/>
      <w:szCs w:val="21"/>
    </w:rPr>
  </w:style>
  <w:style w:type="paragraph" w:styleId="7">
    <w:name w:val="Plain Text"/>
    <w:basedOn w:val="1"/>
    <w:autoRedefine/>
    <w:qFormat/>
    <w:uiPriority w:val="0"/>
    <w:pPr>
      <w:widowControl w:val="0"/>
      <w:jc w:val="both"/>
    </w:pPr>
    <w:rPr>
      <w:rFonts w:ascii="宋体" w:hAnsi="Courier New"/>
      <w:kern w:val="2"/>
      <w:sz w:val="21"/>
      <w:lang w:eastAsia="zh-CN"/>
    </w:rPr>
  </w:style>
  <w:style w:type="paragraph" w:styleId="8">
    <w:name w:val="footer"/>
    <w:basedOn w:val="1"/>
    <w:link w:val="24"/>
    <w:autoRedefine/>
    <w:qFormat/>
    <w:uiPriority w:val="0"/>
    <w:pPr>
      <w:tabs>
        <w:tab w:val="center" w:pos="4153"/>
        <w:tab w:val="right" w:pos="8306"/>
      </w:tabs>
      <w:snapToGrid w:val="0"/>
    </w:pPr>
    <w:rPr>
      <w:sz w:val="18"/>
      <w:szCs w:val="18"/>
    </w:rPr>
  </w:style>
  <w:style w:type="paragraph" w:styleId="9">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1"/>
    <w:pPr>
      <w:spacing w:before="262"/>
      <w:ind w:left="440"/>
    </w:pPr>
    <w:rPr>
      <w:b/>
      <w:bCs/>
      <w:sz w:val="20"/>
      <w:szCs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paragraph" w:customStyle="1" w:styleId="18">
    <w:name w:val="首行缩进"/>
    <w:basedOn w:val="1"/>
    <w:autoRedefine/>
    <w:qFormat/>
    <w:uiPriority w:val="0"/>
    <w:pPr>
      <w:ind w:firstLine="480" w:firstLineChars="200"/>
    </w:pPr>
    <w:rPr>
      <w:lang w:val="zh-CN"/>
    </w:rPr>
  </w:style>
  <w:style w:type="table" w:customStyle="1" w:styleId="19">
    <w:name w:val="Table Normal"/>
    <w:autoRedefine/>
    <w:semiHidden/>
    <w:unhideWhenUsed/>
    <w:qFormat/>
    <w:uiPriority w:val="2"/>
    <w:tblPr>
      <w:tblCellMar>
        <w:top w:w="0" w:type="dxa"/>
        <w:left w:w="0" w:type="dxa"/>
        <w:bottom w:w="0" w:type="dxa"/>
        <w:right w:w="0" w:type="dxa"/>
      </w:tblCellMar>
    </w:tblPr>
  </w:style>
  <w:style w:type="paragraph" w:styleId="20">
    <w:name w:val="List Paragraph"/>
    <w:basedOn w:val="1"/>
    <w:autoRedefine/>
    <w:qFormat/>
    <w:uiPriority w:val="1"/>
    <w:pPr>
      <w:ind w:left="442" w:firstLine="554"/>
    </w:pPr>
  </w:style>
  <w:style w:type="paragraph" w:customStyle="1" w:styleId="21">
    <w:name w:val="Table Paragraph"/>
    <w:basedOn w:val="1"/>
    <w:autoRedefine/>
    <w:qFormat/>
    <w:uiPriority w:val="1"/>
  </w:style>
  <w:style w:type="paragraph" w:customStyle="1" w:styleId="22">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3">
    <w:name w:val="页眉 Char"/>
    <w:basedOn w:val="15"/>
    <w:link w:val="9"/>
    <w:autoRedefine/>
    <w:qFormat/>
    <w:uiPriority w:val="0"/>
    <w:rPr>
      <w:rFonts w:ascii="宋体" w:hAnsi="宋体" w:cs="宋体"/>
      <w:sz w:val="18"/>
      <w:szCs w:val="18"/>
      <w:lang w:val="zh-CN" w:bidi="zh-CN"/>
    </w:rPr>
  </w:style>
  <w:style w:type="character" w:customStyle="1" w:styleId="24">
    <w:name w:val="页脚 Char"/>
    <w:basedOn w:val="15"/>
    <w:link w:val="8"/>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3"/>
    <customShpInfo spid="_x0000_s2054"/>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20739</Words>
  <Characters>21263</Characters>
  <Lines>156</Lines>
  <Paragraphs>44</Paragraphs>
  <TotalTime>0</TotalTime>
  <ScaleCrop>false</ScaleCrop>
  <LinksUpToDate>false</LinksUpToDate>
  <CharactersWithSpaces>26447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WPS_1656392173</cp:lastModifiedBy>
  <dcterms:modified xsi:type="dcterms:W3CDTF">2024-06-14T06:29:37Z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