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747EED">
      <w:pPr>
        <w:snapToGrid w:val="0"/>
        <w:spacing w:line="400" w:lineRule="exact"/>
        <w:jc w:val="center"/>
        <w:rPr>
          <w:rFonts w:ascii="宋体" w:hAnsi="宋体" w:cs="宋体"/>
          <w:b/>
          <w:bCs/>
          <w:color w:val="auto"/>
          <w:spacing w:val="51"/>
          <w:kern w:val="0"/>
          <w:sz w:val="21"/>
          <w:szCs w:val="21"/>
          <w:highlight w:val="none"/>
        </w:rPr>
      </w:pPr>
    </w:p>
    <w:p w14:paraId="09E128C8">
      <w:pPr>
        <w:rPr>
          <w:color w:val="auto"/>
          <w:highlight w:val="none"/>
        </w:rPr>
      </w:pPr>
    </w:p>
    <w:p w14:paraId="52975BA8">
      <w:pPr>
        <w:pStyle w:val="12"/>
        <w:rPr>
          <w:rFonts w:hint="default"/>
          <w:color w:val="auto"/>
          <w:highlight w:val="none"/>
        </w:rPr>
      </w:pPr>
    </w:p>
    <w:p w14:paraId="51B44A25">
      <w:pPr>
        <w:rPr>
          <w:color w:val="auto"/>
          <w:highlight w:val="none"/>
        </w:rPr>
      </w:pPr>
      <w:bookmarkStart w:id="60" w:name="_GoBack"/>
      <w:bookmarkEnd w:id="60"/>
    </w:p>
    <w:p w14:paraId="5467A681">
      <w:pPr>
        <w:spacing w:line="300" w:lineRule="auto"/>
        <w:jc w:val="center"/>
        <w:rPr>
          <w:rFonts w:ascii="宋体" w:hAnsi="宋体"/>
          <w:b/>
          <w:color w:val="auto"/>
          <w:sz w:val="52"/>
          <w:szCs w:val="52"/>
          <w:highlight w:val="none"/>
        </w:rPr>
      </w:pPr>
    </w:p>
    <w:p w14:paraId="7858E424">
      <w:pPr>
        <w:spacing w:line="300" w:lineRule="auto"/>
        <w:jc w:val="center"/>
        <w:outlineLvl w:val="0"/>
        <w:rPr>
          <w:rFonts w:ascii="宋体" w:hAnsi="宋体"/>
          <w:b/>
          <w:color w:val="auto"/>
          <w:sz w:val="96"/>
          <w:szCs w:val="96"/>
          <w:highlight w:val="none"/>
        </w:rPr>
      </w:pPr>
      <w:r>
        <w:rPr>
          <w:rFonts w:hint="eastAsia" w:ascii="宋体" w:hAnsi="宋体"/>
          <w:b/>
          <w:color w:val="auto"/>
          <w:sz w:val="96"/>
          <w:szCs w:val="96"/>
          <w:highlight w:val="none"/>
        </w:rPr>
        <w:t>竞争性谈判文件</w:t>
      </w:r>
    </w:p>
    <w:p w14:paraId="7B55C16E">
      <w:pPr>
        <w:adjustRightInd w:val="0"/>
        <w:snapToGrid w:val="0"/>
        <w:spacing w:line="300" w:lineRule="auto"/>
        <w:jc w:val="center"/>
        <w:rPr>
          <w:rFonts w:ascii="宋体" w:hAnsi="宋体" w:cs="宋体"/>
          <w:b/>
          <w:snapToGrid w:val="0"/>
          <w:color w:val="auto"/>
          <w:sz w:val="30"/>
          <w:szCs w:val="30"/>
          <w:highlight w:val="none"/>
        </w:rPr>
      </w:pPr>
    </w:p>
    <w:p w14:paraId="479A4AB6">
      <w:pPr>
        <w:adjustRightInd w:val="0"/>
        <w:snapToGrid w:val="0"/>
        <w:spacing w:line="300" w:lineRule="auto"/>
        <w:jc w:val="center"/>
        <w:rPr>
          <w:rFonts w:ascii="宋体" w:hAnsi="宋体" w:cs="宋体"/>
          <w:b/>
          <w:snapToGrid w:val="0"/>
          <w:color w:val="auto"/>
          <w:sz w:val="30"/>
          <w:szCs w:val="30"/>
          <w:highlight w:val="none"/>
        </w:rPr>
      </w:pPr>
      <w:r>
        <w:rPr>
          <w:rFonts w:hint="eastAsia" w:ascii="宋体" w:hAnsi="宋体" w:cs="宋体"/>
          <w:b/>
          <w:snapToGrid w:val="0"/>
          <w:color w:val="auto"/>
          <w:sz w:val="30"/>
          <w:szCs w:val="30"/>
          <w:highlight w:val="none"/>
        </w:rPr>
        <w:t>（服务类）</w:t>
      </w:r>
    </w:p>
    <w:p w14:paraId="4E0EDCCF">
      <w:pPr>
        <w:spacing w:line="300" w:lineRule="auto"/>
        <w:rPr>
          <w:rFonts w:ascii="宋体" w:hAnsi="宋体"/>
          <w:color w:val="auto"/>
          <w:sz w:val="24"/>
          <w:highlight w:val="none"/>
        </w:rPr>
      </w:pPr>
    </w:p>
    <w:p w14:paraId="0E59F371">
      <w:pPr>
        <w:jc w:val="center"/>
        <w:rPr>
          <w:rFonts w:ascii="宋体" w:hAnsi="宋体"/>
          <w:color w:val="auto"/>
          <w:sz w:val="30"/>
          <w:highlight w:val="none"/>
        </w:rPr>
      </w:pPr>
    </w:p>
    <w:p w14:paraId="63041FB5">
      <w:pPr>
        <w:pStyle w:val="12"/>
        <w:rPr>
          <w:rFonts w:hint="default"/>
          <w:color w:val="auto"/>
          <w:highlight w:val="none"/>
        </w:rPr>
      </w:pPr>
    </w:p>
    <w:p w14:paraId="2F4F31D0">
      <w:pPr>
        <w:pStyle w:val="13"/>
        <w:rPr>
          <w:rFonts w:hint="default"/>
          <w:color w:val="auto"/>
          <w:highlight w:val="none"/>
        </w:rPr>
      </w:pPr>
    </w:p>
    <w:p w14:paraId="33EBE73D">
      <w:pPr>
        <w:adjustRightInd w:val="0"/>
        <w:snapToGrid w:val="0"/>
        <w:spacing w:line="360" w:lineRule="auto"/>
        <w:rPr>
          <w:rFonts w:ascii="宋体" w:hAnsi="宋体" w:cs="宋体"/>
          <w:bCs/>
          <w:color w:val="auto"/>
          <w:sz w:val="30"/>
          <w:szCs w:val="30"/>
          <w:highlight w:val="none"/>
        </w:rPr>
      </w:pPr>
    </w:p>
    <w:p w14:paraId="3E122FC2">
      <w:pPr>
        <w:adjustRightInd w:val="0"/>
        <w:snapToGrid w:val="0"/>
        <w:spacing w:line="360" w:lineRule="auto"/>
        <w:ind w:firstLine="600" w:firstLineChars="200"/>
        <w:rPr>
          <w:rFonts w:hint="eastAsia" w:ascii="宋体" w:hAnsi="宋体" w:cs="宋体"/>
          <w:bCs/>
          <w:color w:val="auto"/>
          <w:sz w:val="30"/>
          <w:szCs w:val="30"/>
          <w:highlight w:val="none"/>
          <w:lang w:eastAsia="zh-CN"/>
        </w:rPr>
      </w:pPr>
      <w:r>
        <w:rPr>
          <w:rFonts w:hint="eastAsia" w:ascii="宋体" w:hAnsi="宋体" w:cs="宋体"/>
          <w:bCs/>
          <w:color w:val="auto"/>
          <w:sz w:val="30"/>
          <w:szCs w:val="30"/>
          <w:highlight w:val="none"/>
        </w:rPr>
        <w:t>项目名称：</w:t>
      </w:r>
      <w:r>
        <w:rPr>
          <w:rFonts w:hint="eastAsia" w:ascii="宋体" w:hAnsi="宋体" w:cs="宋体"/>
          <w:bCs/>
          <w:color w:val="auto"/>
          <w:sz w:val="30"/>
          <w:szCs w:val="30"/>
          <w:highlight w:val="none"/>
          <w:lang w:eastAsia="zh-CN"/>
        </w:rPr>
        <w:t>江苏省金坛中等专业学校新能源汽车技能大赛实训设备采购</w:t>
      </w:r>
    </w:p>
    <w:p w14:paraId="717540D6">
      <w:pPr>
        <w:adjustRightInd w:val="0"/>
        <w:snapToGrid w:val="0"/>
        <w:spacing w:line="360" w:lineRule="auto"/>
        <w:ind w:firstLine="600" w:firstLineChars="200"/>
        <w:rPr>
          <w:rFonts w:ascii="宋体" w:hAnsi="宋体" w:cs="宋体"/>
          <w:bCs/>
          <w:color w:val="auto"/>
          <w:sz w:val="30"/>
          <w:szCs w:val="30"/>
          <w:highlight w:val="none"/>
        </w:rPr>
      </w:pPr>
      <w:r>
        <w:rPr>
          <w:rFonts w:hint="eastAsia" w:ascii="宋体" w:hAnsi="宋体" w:cs="宋体"/>
          <w:bCs/>
          <w:color w:val="auto"/>
          <w:sz w:val="30"/>
          <w:szCs w:val="30"/>
          <w:highlight w:val="none"/>
        </w:rPr>
        <w:t>采购人：江苏省金坛中等专业学校</w:t>
      </w:r>
    </w:p>
    <w:p w14:paraId="6B98E8C8">
      <w:pPr>
        <w:adjustRightInd w:val="0"/>
        <w:snapToGrid w:val="0"/>
        <w:spacing w:line="360" w:lineRule="auto"/>
        <w:ind w:firstLine="600" w:firstLineChars="200"/>
        <w:rPr>
          <w:rFonts w:hint="eastAsia" w:ascii="宋体" w:hAnsi="宋体" w:eastAsia="宋体" w:cs="宋体"/>
          <w:bCs/>
          <w:color w:val="auto"/>
          <w:sz w:val="30"/>
          <w:szCs w:val="30"/>
          <w:highlight w:val="none"/>
          <w:lang w:eastAsia="zh-CN"/>
        </w:rPr>
      </w:pPr>
      <w:r>
        <w:rPr>
          <w:rFonts w:hint="eastAsia" w:ascii="宋体" w:hAnsi="宋体" w:cs="宋体"/>
          <w:bCs/>
          <w:color w:val="auto"/>
          <w:sz w:val="30"/>
          <w:szCs w:val="30"/>
          <w:highlight w:val="none"/>
        </w:rPr>
        <w:t>采购代理机构：</w:t>
      </w:r>
      <w:r>
        <w:rPr>
          <w:rFonts w:hint="eastAsia" w:ascii="宋体" w:hAnsi="宋体" w:cs="宋体"/>
          <w:bCs/>
          <w:color w:val="auto"/>
          <w:sz w:val="30"/>
          <w:szCs w:val="30"/>
          <w:highlight w:val="none"/>
          <w:lang w:eastAsia="zh-CN"/>
        </w:rPr>
        <w:t>江苏佳宸全过程工程咨询有限公司</w:t>
      </w:r>
    </w:p>
    <w:p w14:paraId="09C6907E">
      <w:pPr>
        <w:adjustRightInd w:val="0"/>
        <w:snapToGrid w:val="0"/>
        <w:spacing w:line="360" w:lineRule="auto"/>
        <w:ind w:firstLine="2400" w:firstLineChars="800"/>
        <w:rPr>
          <w:rFonts w:ascii="宋体" w:hAnsi="宋体" w:cs="宋体"/>
          <w:bCs/>
          <w:color w:val="auto"/>
          <w:sz w:val="30"/>
          <w:szCs w:val="30"/>
          <w:highlight w:val="none"/>
        </w:rPr>
      </w:pPr>
    </w:p>
    <w:p w14:paraId="35D147C1">
      <w:pPr>
        <w:adjustRightInd w:val="0"/>
        <w:snapToGrid w:val="0"/>
        <w:spacing w:line="360" w:lineRule="auto"/>
        <w:ind w:firstLine="2400" w:firstLineChars="800"/>
        <w:rPr>
          <w:rFonts w:ascii="宋体" w:hAnsi="宋体" w:cs="宋体"/>
          <w:bCs/>
          <w:color w:val="auto"/>
          <w:sz w:val="30"/>
          <w:szCs w:val="30"/>
          <w:highlight w:val="none"/>
        </w:rPr>
      </w:pPr>
    </w:p>
    <w:p w14:paraId="6B71B921">
      <w:pPr>
        <w:adjustRightInd w:val="0"/>
        <w:snapToGrid w:val="0"/>
        <w:spacing w:line="360" w:lineRule="auto"/>
        <w:jc w:val="center"/>
        <w:rPr>
          <w:rFonts w:ascii="宋体" w:hAnsi="宋体" w:cs="宋体"/>
          <w:bCs/>
          <w:color w:val="auto"/>
          <w:sz w:val="30"/>
          <w:szCs w:val="30"/>
          <w:highlight w:val="none"/>
        </w:rPr>
      </w:pPr>
      <w:r>
        <w:rPr>
          <w:rFonts w:hint="eastAsia" w:ascii="宋体" w:hAnsi="宋体" w:cs="宋体"/>
          <w:bCs/>
          <w:color w:val="auto"/>
          <w:sz w:val="30"/>
          <w:szCs w:val="30"/>
          <w:highlight w:val="none"/>
        </w:rPr>
        <w:t>202</w:t>
      </w:r>
      <w:r>
        <w:rPr>
          <w:rFonts w:hint="eastAsia" w:ascii="宋体" w:hAnsi="宋体" w:cs="宋体"/>
          <w:bCs/>
          <w:color w:val="auto"/>
          <w:sz w:val="30"/>
          <w:szCs w:val="30"/>
          <w:highlight w:val="none"/>
          <w:lang w:val="en-US" w:eastAsia="zh-CN"/>
        </w:rPr>
        <w:t>4</w:t>
      </w:r>
      <w:r>
        <w:rPr>
          <w:rFonts w:hint="eastAsia" w:ascii="宋体" w:hAnsi="宋体" w:cs="宋体"/>
          <w:bCs/>
          <w:color w:val="auto"/>
          <w:sz w:val="30"/>
          <w:szCs w:val="30"/>
          <w:highlight w:val="none"/>
        </w:rPr>
        <w:t>年</w:t>
      </w:r>
      <w:r>
        <w:rPr>
          <w:rFonts w:hint="eastAsia" w:ascii="宋体" w:hAnsi="宋体" w:cs="宋体"/>
          <w:bCs/>
          <w:color w:val="auto"/>
          <w:sz w:val="30"/>
          <w:szCs w:val="30"/>
          <w:highlight w:val="none"/>
          <w:lang w:val="en-US" w:eastAsia="zh-CN"/>
        </w:rPr>
        <w:t>10</w:t>
      </w:r>
      <w:r>
        <w:rPr>
          <w:rFonts w:hint="eastAsia" w:ascii="宋体" w:hAnsi="宋体" w:cs="宋体"/>
          <w:bCs/>
          <w:color w:val="auto"/>
          <w:sz w:val="30"/>
          <w:szCs w:val="30"/>
          <w:highlight w:val="none"/>
        </w:rPr>
        <w:t xml:space="preserve">月  </w:t>
      </w:r>
    </w:p>
    <w:p w14:paraId="30F995EA">
      <w:pPr>
        <w:rPr>
          <w:rFonts w:ascii="宋体" w:hAnsi="宋体" w:cs="宋体"/>
          <w:b/>
          <w:color w:val="auto"/>
          <w:szCs w:val="28"/>
          <w:highlight w:val="none"/>
        </w:rPr>
      </w:pPr>
      <w:bookmarkStart w:id="0" w:name="_Toc35393797"/>
      <w:bookmarkStart w:id="1" w:name="_Toc14793"/>
      <w:bookmarkStart w:id="2" w:name="_Toc28359011"/>
      <w:r>
        <w:rPr>
          <w:rFonts w:hint="eastAsia" w:ascii="宋体" w:hAnsi="宋体" w:cs="宋体"/>
          <w:b/>
          <w:color w:val="auto"/>
          <w:szCs w:val="28"/>
          <w:highlight w:val="none"/>
        </w:rPr>
        <w:br w:type="page"/>
      </w:r>
    </w:p>
    <w:bookmarkEnd w:id="0"/>
    <w:bookmarkEnd w:id="1"/>
    <w:bookmarkEnd w:id="2"/>
    <w:p w14:paraId="5BEAA520">
      <w:pPr>
        <w:jc w:val="center"/>
        <w:outlineLvl w:val="0"/>
        <w:rPr>
          <w:rFonts w:ascii="宋体" w:hAnsi="宋体" w:cs="宋体"/>
          <w:b/>
          <w:bCs/>
          <w:color w:val="auto"/>
          <w:sz w:val="36"/>
          <w:szCs w:val="36"/>
          <w:highlight w:val="none"/>
        </w:rPr>
      </w:pPr>
      <w:r>
        <w:rPr>
          <w:rFonts w:hint="eastAsia" w:ascii="宋体" w:hAnsi="宋体" w:cs="宋体"/>
          <w:b/>
          <w:bCs/>
          <w:color w:val="auto"/>
          <w:sz w:val="36"/>
          <w:szCs w:val="36"/>
          <w:highlight w:val="none"/>
        </w:rPr>
        <w:t>目  录</w:t>
      </w:r>
    </w:p>
    <w:p w14:paraId="3E8E98CE">
      <w:pPr>
        <w:spacing w:line="400" w:lineRule="exact"/>
        <w:rPr>
          <w:rFonts w:ascii="宋体" w:hAnsi="宋体" w:cs="宋体"/>
          <w:color w:val="auto"/>
          <w:sz w:val="21"/>
          <w:szCs w:val="21"/>
          <w:highlight w:val="none"/>
        </w:rPr>
      </w:pPr>
    </w:p>
    <w:p w14:paraId="00A72686">
      <w:pPr>
        <w:spacing w:line="400" w:lineRule="exact"/>
        <w:rPr>
          <w:rFonts w:ascii="宋体" w:hAnsi="宋体" w:cs="宋体"/>
          <w:color w:val="auto"/>
          <w:sz w:val="21"/>
          <w:szCs w:val="21"/>
          <w:highlight w:val="none"/>
        </w:rPr>
      </w:pPr>
    </w:p>
    <w:p w14:paraId="6BB09B39">
      <w:pPr>
        <w:spacing w:line="480" w:lineRule="auto"/>
        <w:rPr>
          <w:rFonts w:ascii="宋体" w:hAnsi="宋体" w:cs="宋体"/>
          <w:color w:val="auto"/>
          <w:sz w:val="30"/>
          <w:szCs w:val="30"/>
          <w:highlight w:val="none"/>
        </w:rPr>
      </w:pPr>
      <w:r>
        <w:rPr>
          <w:rFonts w:hint="eastAsia" w:ascii="宋体" w:hAnsi="宋体" w:cs="宋体"/>
          <w:color w:val="auto"/>
          <w:sz w:val="30"/>
          <w:szCs w:val="30"/>
          <w:highlight w:val="none"/>
        </w:rPr>
        <w:t>第一部分 采购邀请</w:t>
      </w:r>
    </w:p>
    <w:p w14:paraId="4B43CCC9">
      <w:pPr>
        <w:spacing w:line="480" w:lineRule="auto"/>
        <w:rPr>
          <w:rFonts w:ascii="宋体" w:hAnsi="宋体" w:cs="宋体"/>
          <w:color w:val="auto"/>
          <w:sz w:val="30"/>
          <w:szCs w:val="30"/>
          <w:highlight w:val="none"/>
        </w:rPr>
      </w:pPr>
      <w:r>
        <w:rPr>
          <w:rFonts w:hint="eastAsia" w:ascii="宋体" w:hAnsi="宋体" w:cs="宋体"/>
          <w:color w:val="auto"/>
          <w:sz w:val="30"/>
          <w:szCs w:val="30"/>
          <w:highlight w:val="none"/>
        </w:rPr>
        <w:t>第二部分 响应人须知前附表</w:t>
      </w:r>
    </w:p>
    <w:p w14:paraId="1B04EC45">
      <w:pPr>
        <w:spacing w:line="480" w:lineRule="auto"/>
        <w:rPr>
          <w:rFonts w:ascii="宋体" w:hAnsi="宋体" w:cs="宋体"/>
          <w:color w:val="auto"/>
          <w:sz w:val="30"/>
          <w:szCs w:val="30"/>
          <w:highlight w:val="none"/>
        </w:rPr>
      </w:pPr>
      <w:r>
        <w:rPr>
          <w:rFonts w:hint="eastAsia" w:ascii="宋体" w:hAnsi="宋体" w:cs="宋体"/>
          <w:color w:val="auto"/>
          <w:sz w:val="30"/>
          <w:szCs w:val="30"/>
          <w:highlight w:val="none"/>
        </w:rPr>
        <w:t>第三部分 响应人须知</w:t>
      </w:r>
    </w:p>
    <w:p w14:paraId="6BB700FE">
      <w:pPr>
        <w:spacing w:line="480" w:lineRule="auto"/>
        <w:rPr>
          <w:rStyle w:val="38"/>
          <w:rFonts w:ascii="宋体" w:hAnsi="宋体" w:cs="宋体"/>
          <w:color w:val="auto"/>
          <w:sz w:val="30"/>
          <w:szCs w:val="30"/>
          <w:highlight w:val="none"/>
        </w:rPr>
      </w:pPr>
      <w:r>
        <w:rPr>
          <w:rStyle w:val="38"/>
          <w:rFonts w:hint="eastAsia" w:ascii="宋体" w:hAnsi="宋体" w:cs="宋体"/>
          <w:color w:val="auto"/>
          <w:sz w:val="30"/>
          <w:szCs w:val="30"/>
          <w:highlight w:val="none"/>
        </w:rPr>
        <w:t>第四部分 项目需求</w:t>
      </w:r>
    </w:p>
    <w:p w14:paraId="06643ABD">
      <w:pPr>
        <w:spacing w:line="480" w:lineRule="auto"/>
        <w:rPr>
          <w:rStyle w:val="38"/>
          <w:rFonts w:ascii="宋体" w:hAnsi="宋体" w:cs="宋体"/>
          <w:color w:val="auto"/>
          <w:sz w:val="30"/>
          <w:szCs w:val="30"/>
          <w:highlight w:val="none"/>
        </w:rPr>
      </w:pPr>
      <w:r>
        <w:rPr>
          <w:rStyle w:val="38"/>
          <w:rFonts w:hint="eastAsia" w:ascii="宋体" w:hAnsi="宋体" w:cs="宋体"/>
          <w:color w:val="auto"/>
          <w:sz w:val="30"/>
          <w:szCs w:val="30"/>
          <w:highlight w:val="none"/>
        </w:rPr>
        <w:t>第五部分 合同条款</w:t>
      </w:r>
    </w:p>
    <w:p w14:paraId="68D032B7">
      <w:pPr>
        <w:spacing w:line="480" w:lineRule="auto"/>
        <w:rPr>
          <w:rFonts w:ascii="宋体" w:hAnsi="宋体" w:cs="宋体"/>
          <w:color w:val="auto"/>
          <w:sz w:val="30"/>
          <w:szCs w:val="30"/>
          <w:highlight w:val="none"/>
        </w:rPr>
      </w:pPr>
      <w:r>
        <w:rPr>
          <w:rFonts w:hint="eastAsia" w:ascii="宋体" w:hAnsi="宋体" w:cs="宋体"/>
          <w:color w:val="auto"/>
          <w:sz w:val="30"/>
          <w:szCs w:val="30"/>
          <w:highlight w:val="none"/>
        </w:rPr>
        <w:t>第六部分 响应文件格式</w:t>
      </w:r>
    </w:p>
    <w:p w14:paraId="4F556ADE">
      <w:pPr>
        <w:spacing w:line="400" w:lineRule="exact"/>
        <w:rPr>
          <w:rFonts w:ascii="宋体" w:hAnsi="宋体" w:cs="宋体"/>
          <w:color w:val="auto"/>
          <w:sz w:val="21"/>
          <w:szCs w:val="21"/>
          <w:highlight w:val="none"/>
        </w:rPr>
      </w:pPr>
    </w:p>
    <w:p w14:paraId="5785E586">
      <w:pPr>
        <w:spacing w:line="400" w:lineRule="exact"/>
        <w:rPr>
          <w:rFonts w:ascii="宋体" w:hAnsi="宋体" w:cs="宋体"/>
          <w:color w:val="auto"/>
          <w:sz w:val="21"/>
          <w:szCs w:val="21"/>
          <w:highlight w:val="none"/>
        </w:rPr>
      </w:pPr>
    </w:p>
    <w:p w14:paraId="01C0A185">
      <w:pPr>
        <w:spacing w:line="400" w:lineRule="exact"/>
        <w:rPr>
          <w:rFonts w:ascii="宋体" w:hAnsi="宋体" w:cs="宋体"/>
          <w:color w:val="auto"/>
          <w:sz w:val="21"/>
          <w:szCs w:val="21"/>
          <w:highlight w:val="none"/>
        </w:rPr>
      </w:pPr>
    </w:p>
    <w:p w14:paraId="7C4C664F">
      <w:pPr>
        <w:spacing w:line="400" w:lineRule="exact"/>
        <w:rPr>
          <w:rFonts w:ascii="宋体" w:hAnsi="宋体" w:cs="宋体"/>
          <w:color w:val="auto"/>
          <w:sz w:val="21"/>
          <w:szCs w:val="21"/>
          <w:highlight w:val="none"/>
        </w:rPr>
      </w:pPr>
    </w:p>
    <w:p w14:paraId="00A55E83">
      <w:pPr>
        <w:spacing w:line="400" w:lineRule="exact"/>
        <w:rPr>
          <w:rFonts w:ascii="宋体" w:hAnsi="宋体" w:cs="宋体"/>
          <w:color w:val="auto"/>
          <w:sz w:val="21"/>
          <w:szCs w:val="21"/>
          <w:highlight w:val="none"/>
        </w:rPr>
      </w:pPr>
    </w:p>
    <w:p w14:paraId="457A21DF">
      <w:pPr>
        <w:spacing w:line="400" w:lineRule="exact"/>
        <w:rPr>
          <w:rFonts w:ascii="宋体" w:hAnsi="宋体" w:cs="宋体"/>
          <w:color w:val="auto"/>
          <w:sz w:val="21"/>
          <w:szCs w:val="21"/>
          <w:highlight w:val="none"/>
        </w:rPr>
      </w:pPr>
    </w:p>
    <w:p w14:paraId="7F24A45A">
      <w:pPr>
        <w:spacing w:line="400" w:lineRule="exact"/>
        <w:jc w:val="left"/>
        <w:rPr>
          <w:rFonts w:ascii="宋体" w:hAnsi="宋体" w:cs="宋体"/>
          <w:b/>
          <w:bCs/>
          <w:color w:val="auto"/>
          <w:sz w:val="21"/>
          <w:szCs w:val="21"/>
          <w:highlight w:val="none"/>
        </w:rPr>
      </w:pPr>
    </w:p>
    <w:p w14:paraId="2F4B6979">
      <w:pPr>
        <w:spacing w:line="400" w:lineRule="exact"/>
        <w:jc w:val="center"/>
        <w:rPr>
          <w:rFonts w:ascii="宋体" w:hAnsi="宋体" w:cs="宋体"/>
          <w:b/>
          <w:color w:val="auto"/>
          <w:sz w:val="21"/>
          <w:szCs w:val="21"/>
          <w:highlight w:val="none"/>
        </w:rPr>
      </w:pPr>
    </w:p>
    <w:p w14:paraId="3E2FF32A">
      <w:pPr>
        <w:spacing w:line="400" w:lineRule="exact"/>
        <w:jc w:val="center"/>
        <w:rPr>
          <w:rFonts w:ascii="宋体" w:hAnsi="宋体" w:cs="宋体"/>
          <w:b/>
          <w:color w:val="auto"/>
          <w:sz w:val="21"/>
          <w:szCs w:val="21"/>
          <w:highlight w:val="none"/>
        </w:rPr>
      </w:pPr>
    </w:p>
    <w:p w14:paraId="10F26F06">
      <w:pPr>
        <w:spacing w:line="400" w:lineRule="exact"/>
        <w:jc w:val="center"/>
        <w:rPr>
          <w:rFonts w:ascii="宋体" w:hAnsi="宋体" w:cs="宋体"/>
          <w:b/>
          <w:color w:val="auto"/>
          <w:sz w:val="21"/>
          <w:szCs w:val="21"/>
          <w:highlight w:val="none"/>
        </w:rPr>
      </w:pPr>
    </w:p>
    <w:p w14:paraId="128DBE06">
      <w:pPr>
        <w:spacing w:line="400" w:lineRule="exact"/>
        <w:jc w:val="center"/>
        <w:rPr>
          <w:rFonts w:ascii="宋体" w:hAnsi="宋体" w:cs="宋体"/>
          <w:b/>
          <w:color w:val="auto"/>
          <w:sz w:val="21"/>
          <w:szCs w:val="21"/>
          <w:highlight w:val="none"/>
        </w:rPr>
      </w:pPr>
    </w:p>
    <w:p w14:paraId="1BF37C86">
      <w:pPr>
        <w:spacing w:line="400" w:lineRule="exact"/>
        <w:jc w:val="center"/>
        <w:rPr>
          <w:rFonts w:ascii="宋体" w:hAnsi="宋体" w:cs="宋体"/>
          <w:b/>
          <w:color w:val="auto"/>
          <w:sz w:val="21"/>
          <w:szCs w:val="21"/>
          <w:highlight w:val="none"/>
        </w:rPr>
      </w:pPr>
    </w:p>
    <w:p w14:paraId="51C63BC9">
      <w:pPr>
        <w:rPr>
          <w:rFonts w:ascii="宋体" w:hAnsi="宋体" w:cs="宋体"/>
          <w:color w:val="auto"/>
          <w:sz w:val="21"/>
          <w:szCs w:val="21"/>
          <w:highlight w:val="none"/>
        </w:rPr>
      </w:pPr>
    </w:p>
    <w:p w14:paraId="5D1F7CE9">
      <w:pPr>
        <w:rPr>
          <w:rFonts w:ascii="宋体" w:hAnsi="宋体" w:cs="宋体"/>
          <w:b/>
          <w:color w:val="auto"/>
          <w:sz w:val="21"/>
          <w:szCs w:val="21"/>
          <w:highlight w:val="none"/>
        </w:rPr>
      </w:pPr>
    </w:p>
    <w:p w14:paraId="6257368D">
      <w:pPr>
        <w:rPr>
          <w:rFonts w:ascii="宋体" w:hAnsi="宋体" w:cs="宋体"/>
          <w:color w:val="auto"/>
          <w:sz w:val="21"/>
          <w:szCs w:val="21"/>
          <w:highlight w:val="none"/>
        </w:rPr>
      </w:pPr>
    </w:p>
    <w:p w14:paraId="24F6469C">
      <w:pPr>
        <w:rPr>
          <w:rFonts w:ascii="宋体" w:hAnsi="宋体" w:cs="宋体"/>
          <w:b/>
          <w:color w:val="auto"/>
          <w:sz w:val="21"/>
          <w:szCs w:val="21"/>
          <w:highlight w:val="none"/>
        </w:rPr>
      </w:pPr>
    </w:p>
    <w:p w14:paraId="25ACB042">
      <w:pPr>
        <w:spacing w:line="400" w:lineRule="exact"/>
        <w:rPr>
          <w:rFonts w:ascii="宋体" w:hAnsi="宋体" w:cs="宋体"/>
          <w:b/>
          <w:bCs/>
          <w:color w:val="auto"/>
          <w:sz w:val="32"/>
          <w:szCs w:val="32"/>
          <w:highlight w:val="none"/>
        </w:rPr>
      </w:pPr>
    </w:p>
    <w:p w14:paraId="1383C69C">
      <w:pPr>
        <w:spacing w:line="400" w:lineRule="exact"/>
        <w:rPr>
          <w:rFonts w:ascii="宋体" w:hAnsi="宋体" w:cs="宋体"/>
          <w:b/>
          <w:bCs/>
          <w:color w:val="auto"/>
          <w:sz w:val="32"/>
          <w:szCs w:val="32"/>
          <w:highlight w:val="none"/>
        </w:rPr>
      </w:pPr>
    </w:p>
    <w:p w14:paraId="3BFED07A">
      <w:pPr>
        <w:spacing w:line="400" w:lineRule="exact"/>
        <w:rPr>
          <w:rFonts w:ascii="宋体" w:hAnsi="宋体" w:cs="宋体"/>
          <w:b/>
          <w:bCs/>
          <w:color w:val="auto"/>
          <w:sz w:val="32"/>
          <w:szCs w:val="32"/>
          <w:highlight w:val="none"/>
        </w:rPr>
      </w:pPr>
    </w:p>
    <w:p w14:paraId="2E2720CE">
      <w:pPr>
        <w:rPr>
          <w:rFonts w:ascii="宋体" w:hAnsi="宋体" w:cs="宋体"/>
          <w:b/>
          <w:bCs/>
          <w:color w:val="auto"/>
          <w:sz w:val="21"/>
          <w:szCs w:val="21"/>
          <w:highlight w:val="none"/>
        </w:rPr>
      </w:pPr>
      <w:r>
        <w:rPr>
          <w:rFonts w:hint="eastAsia" w:ascii="宋体" w:hAnsi="宋体" w:cs="宋体"/>
          <w:b/>
          <w:bCs/>
          <w:color w:val="auto"/>
          <w:sz w:val="21"/>
          <w:szCs w:val="21"/>
          <w:highlight w:val="none"/>
        </w:rPr>
        <w:br w:type="page"/>
      </w:r>
    </w:p>
    <w:p w14:paraId="68B03E86">
      <w:pPr>
        <w:spacing w:line="420" w:lineRule="exact"/>
        <w:jc w:val="center"/>
        <w:outlineLvl w:val="0"/>
        <w:rPr>
          <w:rFonts w:ascii="宋体" w:hAnsi="宋体" w:cs="宋体"/>
          <w:b/>
          <w:bCs/>
          <w:color w:val="auto"/>
          <w:sz w:val="24"/>
          <w:szCs w:val="24"/>
          <w:highlight w:val="none"/>
        </w:rPr>
      </w:pPr>
      <w:r>
        <w:rPr>
          <w:rFonts w:hint="eastAsia" w:ascii="宋体" w:hAnsi="宋体" w:cs="宋体"/>
          <w:b/>
          <w:bCs/>
          <w:color w:val="auto"/>
          <w:sz w:val="24"/>
          <w:szCs w:val="24"/>
          <w:highlight w:val="none"/>
        </w:rPr>
        <w:t xml:space="preserve">第一部分 </w:t>
      </w:r>
      <w:r>
        <w:rPr>
          <w:rFonts w:ascii="宋体" w:hAnsi="宋体" w:cs="宋体"/>
          <w:b/>
          <w:bCs/>
          <w:color w:val="auto"/>
          <w:sz w:val="24"/>
          <w:szCs w:val="24"/>
          <w:highlight w:val="none"/>
        </w:rPr>
        <w:t xml:space="preserve"> </w:t>
      </w:r>
      <w:r>
        <w:rPr>
          <w:rFonts w:hint="eastAsia" w:ascii="宋体" w:hAnsi="宋体" w:cs="宋体"/>
          <w:b/>
          <w:bCs/>
          <w:color w:val="auto"/>
          <w:sz w:val="24"/>
          <w:szCs w:val="24"/>
          <w:highlight w:val="none"/>
        </w:rPr>
        <w:t>采购邀请</w:t>
      </w:r>
    </w:p>
    <w:p w14:paraId="72B77F25">
      <w:pPr>
        <w:widowControl/>
        <w:spacing w:line="420" w:lineRule="exact"/>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sz w:val="21"/>
          <w:szCs w:val="21"/>
          <w:highlight w:val="none"/>
        </w:rPr>
        <w:t>一、项目基本情况</w:t>
      </w:r>
    </w:p>
    <w:p w14:paraId="15604C8D">
      <w:pPr>
        <w:widowControl/>
        <w:spacing w:line="420" w:lineRule="exact"/>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项目名称：</w:t>
      </w:r>
      <w:r>
        <w:rPr>
          <w:rFonts w:hint="eastAsia" w:ascii="宋体" w:hAnsi="宋体" w:eastAsia="宋体" w:cs="宋体"/>
          <w:color w:val="auto"/>
          <w:sz w:val="21"/>
          <w:szCs w:val="21"/>
          <w:highlight w:val="none"/>
          <w:lang w:eastAsia="zh-CN"/>
        </w:rPr>
        <w:t>江苏省金坛中等专业学校新能源汽车技能大赛实训设备采购</w:t>
      </w:r>
    </w:p>
    <w:p w14:paraId="4BFAC4A7">
      <w:pPr>
        <w:widowControl/>
        <w:spacing w:line="42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采购方式：竞争性谈判</w:t>
      </w:r>
    </w:p>
    <w:p w14:paraId="2B31CCAC">
      <w:pPr>
        <w:widowControl/>
        <w:spacing w:line="42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预算金额：</w:t>
      </w:r>
      <w:r>
        <w:rPr>
          <w:rFonts w:hint="eastAsia" w:ascii="宋体" w:hAnsi="宋体" w:eastAsia="宋体" w:cs="宋体"/>
          <w:b w:val="0"/>
          <w:bCs/>
          <w:color w:val="auto"/>
          <w:sz w:val="21"/>
          <w:szCs w:val="21"/>
          <w:highlight w:val="none"/>
          <w:lang w:val="en-US" w:eastAsia="zh-CN"/>
        </w:rPr>
        <w:t>422000元</w:t>
      </w:r>
    </w:p>
    <w:p w14:paraId="70ED3A46">
      <w:pPr>
        <w:widowControl/>
        <w:spacing w:line="420" w:lineRule="exact"/>
        <w:ind w:firstLine="420" w:firstLineChars="200"/>
        <w:jc w:val="left"/>
        <w:rPr>
          <w:rFonts w:hint="eastAsia" w:ascii="宋体" w:hAnsi="宋体" w:eastAsia="宋体" w:cs="宋体"/>
          <w:b w:val="0"/>
          <w:bCs/>
          <w:color w:val="auto"/>
          <w:sz w:val="21"/>
          <w:szCs w:val="21"/>
          <w:highlight w:val="none"/>
          <w:lang w:val="en-US" w:eastAsia="zh-CN"/>
        </w:rPr>
      </w:pPr>
      <w:r>
        <w:rPr>
          <w:rFonts w:hint="eastAsia" w:ascii="宋体" w:hAnsi="宋体" w:eastAsia="宋体" w:cs="宋体"/>
          <w:color w:val="auto"/>
          <w:sz w:val="21"/>
          <w:szCs w:val="21"/>
          <w:highlight w:val="none"/>
        </w:rPr>
        <w:t>最高限价：</w:t>
      </w:r>
      <w:r>
        <w:rPr>
          <w:rFonts w:hint="eastAsia" w:ascii="宋体" w:hAnsi="宋体" w:eastAsia="宋体" w:cs="宋体"/>
          <w:b w:val="0"/>
          <w:bCs/>
          <w:color w:val="auto"/>
          <w:sz w:val="21"/>
          <w:szCs w:val="21"/>
          <w:highlight w:val="none"/>
          <w:lang w:val="en-US" w:eastAsia="zh-CN"/>
        </w:rPr>
        <w:t>422000元（投标价不得高于控制价，否则作无效投标处理）。</w:t>
      </w:r>
    </w:p>
    <w:p w14:paraId="38A9C252">
      <w:pPr>
        <w:widowControl/>
        <w:spacing w:line="42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采购需求：</w:t>
      </w:r>
      <w:r>
        <w:rPr>
          <w:rFonts w:hint="eastAsia" w:ascii="宋体" w:hAnsi="宋体" w:eastAsia="宋体" w:cs="宋体"/>
          <w:color w:val="auto"/>
          <w:kern w:val="0"/>
          <w:sz w:val="21"/>
          <w:szCs w:val="21"/>
          <w:highlight w:val="none"/>
          <w:lang w:eastAsia="zh-CN"/>
        </w:rPr>
        <w:t>新能源汽车技能大赛实训设备采购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具体要求详见项目需求；</w:t>
      </w:r>
    </w:p>
    <w:p w14:paraId="22949113">
      <w:pPr>
        <w:widowControl/>
        <w:spacing w:line="42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合同履行期限（服务期限）：</w:t>
      </w:r>
      <w:r>
        <w:rPr>
          <w:rFonts w:hint="eastAsia" w:ascii="宋体" w:hAnsi="宋体" w:eastAsia="宋体" w:cs="宋体"/>
          <w:color w:val="auto"/>
          <w:sz w:val="21"/>
          <w:szCs w:val="21"/>
          <w:highlight w:val="none"/>
          <w:lang w:val="en-US" w:eastAsia="zh-CN"/>
        </w:rPr>
        <w:t xml:space="preserve">合同签订后30日历天 </w:t>
      </w:r>
      <w:r>
        <w:rPr>
          <w:rFonts w:hint="eastAsia" w:ascii="宋体" w:hAnsi="宋体" w:eastAsia="宋体" w:cs="宋体"/>
          <w:color w:val="auto"/>
          <w:sz w:val="21"/>
          <w:szCs w:val="21"/>
          <w:highlight w:val="none"/>
        </w:rPr>
        <w:t>；</w:t>
      </w:r>
    </w:p>
    <w:p w14:paraId="490D1E6E">
      <w:pPr>
        <w:widowControl/>
        <w:spacing w:line="42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本项目是否接受联合体：否。</w:t>
      </w:r>
    </w:p>
    <w:p w14:paraId="573EEFD3">
      <w:pPr>
        <w:widowControl/>
        <w:spacing w:line="420" w:lineRule="exact"/>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sz w:val="21"/>
          <w:szCs w:val="21"/>
          <w:highlight w:val="none"/>
        </w:rPr>
        <w:t>二、申请人的资格要求</w:t>
      </w:r>
    </w:p>
    <w:p w14:paraId="3A14257D">
      <w:pPr>
        <w:widowControl/>
        <w:spacing w:line="42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1.未被“信用中国”网站（www.creditchina.gov.cn）列入失信被执行人、重大税收违法案件当事人名单、政府采购严重失信行为记录名单；</w:t>
      </w:r>
    </w:p>
    <w:p w14:paraId="056B1EC2">
      <w:pPr>
        <w:widowControl/>
        <w:spacing w:line="42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2.单位负责人为同一人或者存在直接控股、管理关系的不同供应商（包含法定代表人（负责人）为同一个人的两个及两个以上法人，母公司、全资子公司及其控股公司），不得参加同一项合同下的采购活动；</w:t>
      </w:r>
    </w:p>
    <w:p w14:paraId="2062D4BF">
      <w:pPr>
        <w:widowControl/>
        <w:spacing w:line="42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.法律、法规规定的其他条件；</w:t>
      </w:r>
    </w:p>
    <w:p w14:paraId="0C81D866">
      <w:pPr>
        <w:widowControl/>
        <w:spacing w:line="42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.本次招标不接受联合体投标。</w:t>
      </w:r>
    </w:p>
    <w:p w14:paraId="708ED76B">
      <w:pPr>
        <w:widowControl/>
        <w:spacing w:line="420" w:lineRule="exact"/>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sz w:val="21"/>
          <w:szCs w:val="21"/>
          <w:highlight w:val="none"/>
        </w:rPr>
        <w:t>三、获取谈判文件</w:t>
      </w:r>
    </w:p>
    <w:p w14:paraId="3473333D">
      <w:pPr>
        <w:widowControl/>
        <w:spacing w:line="42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时间：</w:t>
      </w:r>
      <w:r>
        <w:rPr>
          <w:rFonts w:hint="eastAsia" w:ascii="宋体" w:hAnsi="宋体" w:eastAsia="宋体" w:cs="宋体"/>
          <w:color w:val="auto"/>
          <w:sz w:val="21"/>
          <w:szCs w:val="21"/>
          <w:highlight w:val="none"/>
          <w:lang w:eastAsia="zh-CN"/>
        </w:rPr>
        <w:t>2024</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lang w:val="en-US" w:eastAsia="zh-CN"/>
        </w:rPr>
        <w:t>25</w:t>
      </w:r>
      <w:r>
        <w:rPr>
          <w:rFonts w:hint="eastAsia" w:ascii="宋体" w:hAnsi="宋体" w:eastAsia="宋体" w:cs="宋体"/>
          <w:color w:val="auto"/>
          <w:sz w:val="21"/>
          <w:szCs w:val="21"/>
          <w:highlight w:val="none"/>
        </w:rPr>
        <w:t>日至</w:t>
      </w:r>
      <w:r>
        <w:rPr>
          <w:rFonts w:hint="eastAsia" w:ascii="宋体" w:hAnsi="宋体" w:eastAsia="宋体" w:cs="宋体"/>
          <w:color w:val="auto"/>
          <w:sz w:val="21"/>
          <w:szCs w:val="21"/>
          <w:highlight w:val="none"/>
          <w:lang w:eastAsia="zh-CN"/>
        </w:rPr>
        <w:t>2024</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 xml:space="preserve"> 月</w:t>
      </w:r>
      <w:r>
        <w:rPr>
          <w:rFonts w:hint="eastAsia" w:ascii="宋体" w:hAnsi="宋体" w:eastAsia="宋体" w:cs="宋体"/>
          <w:color w:val="auto"/>
          <w:sz w:val="21"/>
          <w:szCs w:val="21"/>
          <w:highlight w:val="none"/>
          <w:lang w:val="en-US" w:eastAsia="zh-CN"/>
        </w:rPr>
        <w:t>29</w:t>
      </w:r>
      <w:r>
        <w:rPr>
          <w:rFonts w:hint="eastAsia" w:ascii="宋体" w:hAnsi="宋体" w:eastAsia="宋体" w:cs="宋体"/>
          <w:color w:val="auto"/>
          <w:sz w:val="21"/>
          <w:szCs w:val="21"/>
          <w:highlight w:val="none"/>
        </w:rPr>
        <w:t>日，每</w:t>
      </w:r>
      <w:r>
        <w:rPr>
          <w:rFonts w:hint="eastAsia" w:ascii="宋体" w:hAnsi="宋体" w:eastAsia="宋体" w:cs="宋体"/>
          <w:color w:val="auto"/>
          <w:sz w:val="21"/>
          <w:szCs w:val="21"/>
          <w:highlight w:val="none"/>
        </w:rPr>
        <w:t>天上午</w:t>
      </w:r>
      <w:r>
        <w:rPr>
          <w:rFonts w:hint="eastAsia" w:ascii="宋体" w:hAnsi="宋体" w:eastAsia="宋体" w:cs="宋体"/>
          <w:color w:val="auto"/>
          <w:sz w:val="21"/>
          <w:szCs w:val="21"/>
          <w:highlight w:val="none"/>
          <w:u w:val="single"/>
        </w:rPr>
        <w:t>8:30</w:t>
      </w:r>
      <w:r>
        <w:rPr>
          <w:rFonts w:hint="eastAsia" w:ascii="宋体" w:hAnsi="宋体" w:eastAsia="宋体" w:cs="宋体"/>
          <w:color w:val="auto"/>
          <w:sz w:val="21"/>
          <w:szCs w:val="21"/>
          <w:highlight w:val="none"/>
        </w:rPr>
        <w:t>至</w:t>
      </w:r>
      <w:r>
        <w:rPr>
          <w:rFonts w:hint="eastAsia" w:ascii="宋体" w:hAnsi="宋体" w:eastAsia="宋体" w:cs="宋体"/>
          <w:color w:val="auto"/>
          <w:sz w:val="21"/>
          <w:szCs w:val="21"/>
          <w:highlight w:val="none"/>
          <w:u w:val="single"/>
        </w:rPr>
        <w:t>11:30</w:t>
      </w:r>
      <w:r>
        <w:rPr>
          <w:rFonts w:hint="eastAsia" w:ascii="宋体" w:hAnsi="宋体" w:eastAsia="宋体" w:cs="宋体"/>
          <w:color w:val="auto"/>
          <w:sz w:val="21"/>
          <w:szCs w:val="21"/>
          <w:highlight w:val="none"/>
        </w:rPr>
        <w:t>，下午</w:t>
      </w:r>
      <w:r>
        <w:rPr>
          <w:rFonts w:hint="eastAsia" w:ascii="宋体" w:hAnsi="宋体" w:eastAsia="宋体" w:cs="宋体"/>
          <w:color w:val="auto"/>
          <w:sz w:val="21"/>
          <w:szCs w:val="21"/>
          <w:highlight w:val="none"/>
          <w:u w:val="single"/>
        </w:rPr>
        <w:t>13:30</w:t>
      </w:r>
      <w:r>
        <w:rPr>
          <w:rFonts w:hint="eastAsia" w:ascii="宋体" w:hAnsi="宋体" w:eastAsia="宋体" w:cs="宋体"/>
          <w:color w:val="auto"/>
          <w:sz w:val="21"/>
          <w:szCs w:val="21"/>
          <w:highlight w:val="none"/>
        </w:rPr>
        <w:t>至</w:t>
      </w:r>
      <w:r>
        <w:rPr>
          <w:rFonts w:hint="eastAsia" w:ascii="宋体" w:hAnsi="宋体" w:eastAsia="宋体" w:cs="宋体"/>
          <w:color w:val="auto"/>
          <w:sz w:val="21"/>
          <w:szCs w:val="21"/>
          <w:highlight w:val="none"/>
          <w:u w:val="single"/>
        </w:rPr>
        <w:t>17:</w:t>
      </w:r>
      <w:r>
        <w:rPr>
          <w:rFonts w:hint="eastAsia" w:ascii="宋体" w:hAnsi="宋体" w:eastAsia="宋体" w:cs="宋体"/>
          <w:color w:val="auto"/>
          <w:sz w:val="21"/>
          <w:szCs w:val="21"/>
          <w:highlight w:val="none"/>
          <w:u w:val="single"/>
          <w:lang w:val="en-US" w:eastAsia="zh-CN"/>
        </w:rPr>
        <w:t>3</w:t>
      </w:r>
      <w:r>
        <w:rPr>
          <w:rFonts w:hint="eastAsia" w:ascii="宋体" w:hAnsi="宋体" w:eastAsia="宋体" w:cs="宋体"/>
          <w:color w:val="auto"/>
          <w:sz w:val="21"/>
          <w:szCs w:val="21"/>
          <w:highlight w:val="none"/>
          <w:u w:val="single"/>
        </w:rPr>
        <w:t>0</w:t>
      </w:r>
      <w:r>
        <w:rPr>
          <w:rFonts w:hint="eastAsia" w:ascii="宋体" w:hAnsi="宋体" w:eastAsia="宋体" w:cs="宋体"/>
          <w:color w:val="auto"/>
          <w:sz w:val="21"/>
          <w:szCs w:val="21"/>
          <w:highlight w:val="none"/>
        </w:rPr>
        <w:t>（北京时间，法定节假日除外）。</w:t>
      </w:r>
    </w:p>
    <w:p w14:paraId="08836D6A">
      <w:pPr>
        <w:widowControl/>
        <w:spacing w:line="42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地点：</w:t>
      </w:r>
      <w:r>
        <w:rPr>
          <w:rFonts w:hint="eastAsia" w:ascii="宋体" w:hAnsi="宋体" w:eastAsia="宋体" w:cs="宋体"/>
          <w:color w:val="auto"/>
          <w:sz w:val="21"/>
          <w:szCs w:val="21"/>
          <w:highlight w:val="none"/>
          <w:lang w:eastAsia="zh-CN"/>
        </w:rPr>
        <w:t>江苏佳宸全过程工程咨询有限公司（常州市金坛区中景商务中心A座1909室）</w:t>
      </w:r>
      <w:r>
        <w:rPr>
          <w:rFonts w:hint="eastAsia" w:ascii="宋体" w:hAnsi="宋体" w:eastAsia="宋体" w:cs="宋体"/>
          <w:color w:val="auto"/>
          <w:sz w:val="21"/>
          <w:szCs w:val="21"/>
          <w:highlight w:val="none"/>
        </w:rPr>
        <w:t>。</w:t>
      </w:r>
    </w:p>
    <w:p w14:paraId="497849C1">
      <w:pPr>
        <w:widowControl/>
        <w:spacing w:line="42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方式：现场获取。</w:t>
      </w:r>
    </w:p>
    <w:p w14:paraId="095F733B">
      <w:pPr>
        <w:widowControl/>
        <w:spacing w:line="42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领购资料：</w:t>
      </w:r>
    </w:p>
    <w:p w14:paraId="0F8A6F7E">
      <w:pPr>
        <w:widowControl/>
        <w:spacing w:line="42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（1）报名申请表（附件1）；</w:t>
      </w:r>
    </w:p>
    <w:p w14:paraId="162FFFB4">
      <w:pPr>
        <w:widowControl/>
        <w:spacing w:line="42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（2）营业执照；</w:t>
      </w:r>
    </w:p>
    <w:p w14:paraId="77A028C0">
      <w:pPr>
        <w:widowControl/>
        <w:spacing w:line="42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（3）法定代表人资格证明书及本人身份证；或授权委托书及委托代理人身份证。</w:t>
      </w:r>
    </w:p>
    <w:p w14:paraId="316B88AA">
      <w:pPr>
        <w:widowControl/>
        <w:spacing w:line="42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w:t>
      </w:r>
    </w:p>
    <w:p w14:paraId="5BF9F5F3">
      <w:pPr>
        <w:widowControl/>
        <w:spacing w:line="42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①领购资料提供</w:t>
      </w:r>
      <w:r>
        <w:rPr>
          <w:rFonts w:hint="eastAsia" w:ascii="宋体" w:hAnsi="宋体" w:eastAsia="宋体" w:cs="宋体"/>
          <w:color w:val="auto"/>
          <w:sz w:val="21"/>
          <w:szCs w:val="21"/>
          <w:highlight w:val="none"/>
          <w:lang w:val="en-US" w:eastAsia="zh-CN"/>
        </w:rPr>
        <w:t>壹</w:t>
      </w:r>
      <w:r>
        <w:rPr>
          <w:rFonts w:hint="eastAsia" w:ascii="宋体" w:hAnsi="宋体" w:eastAsia="宋体" w:cs="宋体"/>
          <w:color w:val="auto"/>
          <w:sz w:val="21"/>
          <w:szCs w:val="21"/>
          <w:highlight w:val="none"/>
        </w:rPr>
        <w:t>份复印件（复印件加盖响应人公章）。</w:t>
      </w:r>
    </w:p>
    <w:p w14:paraId="71049F10">
      <w:pPr>
        <w:widowControl/>
        <w:spacing w:line="42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②材料携带不全或有瑕疵的，采购人将不予接受报名；</w:t>
      </w:r>
    </w:p>
    <w:p w14:paraId="5D3D42A9">
      <w:pPr>
        <w:widowControl/>
        <w:spacing w:line="42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③报名成功不代表资格审查的最终通过或合格，供应商最终资格的确认以开标后资格审查结果为准。</w:t>
      </w:r>
    </w:p>
    <w:p w14:paraId="72B1F1C6">
      <w:pPr>
        <w:widowControl/>
        <w:spacing w:line="420" w:lineRule="exact"/>
        <w:ind w:firstLine="420" w:firstLineChars="200"/>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4.售价：本套谈判文件售价人民币</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00元</w:t>
      </w:r>
      <w:r>
        <w:rPr>
          <w:rFonts w:hint="eastAsia" w:ascii="宋体" w:hAnsi="宋体" w:eastAsia="宋体" w:cs="宋体"/>
          <w:color w:val="auto"/>
          <w:sz w:val="21"/>
          <w:szCs w:val="21"/>
          <w:highlight w:val="none"/>
          <w:lang w:val="zh-CN"/>
        </w:rPr>
        <w:t>/套，售后不退，未报名的单位不得参与投标。</w:t>
      </w:r>
    </w:p>
    <w:p w14:paraId="24DA5B77">
      <w:pPr>
        <w:widowControl/>
        <w:spacing w:line="420" w:lineRule="exact"/>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sz w:val="21"/>
          <w:szCs w:val="21"/>
          <w:highlight w:val="none"/>
        </w:rPr>
        <w:t>四、响应文件提交</w:t>
      </w:r>
    </w:p>
    <w:p w14:paraId="5D861103">
      <w:pPr>
        <w:widowControl/>
        <w:spacing w:line="42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截止时间：</w:t>
      </w:r>
      <w:r>
        <w:rPr>
          <w:rFonts w:hint="eastAsia" w:ascii="宋体" w:hAnsi="宋体" w:eastAsia="宋体" w:cs="宋体"/>
          <w:color w:val="auto"/>
          <w:sz w:val="21"/>
          <w:szCs w:val="21"/>
          <w:highlight w:val="none"/>
          <w:lang w:eastAsia="zh-CN"/>
        </w:rPr>
        <w:t>2024</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lang w:val="en-US" w:eastAsia="zh-CN"/>
        </w:rPr>
        <w:t>11</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日</w:t>
      </w:r>
      <w:r>
        <w:rPr>
          <w:rFonts w:hint="eastAsia" w:ascii="宋体" w:hAnsi="宋体" w:eastAsia="宋体" w:cs="宋体"/>
          <w:color w:val="auto"/>
          <w:sz w:val="21"/>
          <w:szCs w:val="21"/>
          <w:highlight w:val="none"/>
          <w:lang w:val="en-US" w:eastAsia="zh-CN"/>
        </w:rPr>
        <w:t>09</w:t>
      </w:r>
      <w:r>
        <w:rPr>
          <w:rFonts w:hint="eastAsia" w:ascii="宋体" w:hAnsi="宋体" w:eastAsia="宋体" w:cs="宋体"/>
          <w:color w:val="auto"/>
          <w:sz w:val="21"/>
          <w:szCs w:val="21"/>
          <w:highlight w:val="none"/>
        </w:rPr>
        <w:t>点</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0分（北京时间）；</w:t>
      </w:r>
    </w:p>
    <w:p w14:paraId="6C6AA1CB">
      <w:pPr>
        <w:widowControl/>
        <w:spacing w:line="42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地点：</w:t>
      </w:r>
      <w:r>
        <w:rPr>
          <w:rFonts w:hint="eastAsia" w:ascii="宋体" w:hAnsi="宋体" w:eastAsia="宋体" w:cs="宋体"/>
          <w:color w:val="auto"/>
          <w:sz w:val="21"/>
          <w:szCs w:val="21"/>
          <w:highlight w:val="none"/>
          <w:lang w:eastAsia="zh-CN"/>
        </w:rPr>
        <w:t>江苏佳宸全过程工程咨询有限公司开标室（常州市金坛区中景商务中心A座1909室）</w:t>
      </w:r>
      <w:r>
        <w:rPr>
          <w:rFonts w:hint="eastAsia" w:ascii="宋体" w:hAnsi="宋体" w:eastAsia="宋体" w:cs="宋体"/>
          <w:color w:val="auto"/>
          <w:sz w:val="21"/>
          <w:szCs w:val="21"/>
          <w:highlight w:val="none"/>
        </w:rPr>
        <w:t>。</w:t>
      </w:r>
    </w:p>
    <w:p w14:paraId="7D973A98">
      <w:pPr>
        <w:widowControl/>
        <w:spacing w:line="420" w:lineRule="exac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五、开启</w:t>
      </w:r>
    </w:p>
    <w:p w14:paraId="221D5C1F">
      <w:pPr>
        <w:widowControl/>
        <w:spacing w:line="42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时间：</w:t>
      </w:r>
      <w:r>
        <w:rPr>
          <w:rFonts w:hint="eastAsia" w:ascii="宋体" w:hAnsi="宋体" w:eastAsia="宋体" w:cs="宋体"/>
          <w:color w:val="auto"/>
          <w:sz w:val="21"/>
          <w:szCs w:val="21"/>
          <w:highlight w:val="none"/>
          <w:lang w:eastAsia="zh-CN"/>
        </w:rPr>
        <w:t>2024</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lang w:val="en-US" w:eastAsia="zh-CN"/>
        </w:rPr>
        <w:t>11</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日</w:t>
      </w:r>
      <w:r>
        <w:rPr>
          <w:rFonts w:hint="eastAsia" w:ascii="宋体" w:hAnsi="宋体" w:eastAsia="宋体" w:cs="宋体"/>
          <w:color w:val="auto"/>
          <w:sz w:val="21"/>
          <w:szCs w:val="21"/>
          <w:highlight w:val="none"/>
          <w:lang w:val="en-US" w:eastAsia="zh-CN"/>
        </w:rPr>
        <w:t>09</w:t>
      </w:r>
      <w:r>
        <w:rPr>
          <w:rFonts w:hint="eastAsia" w:ascii="宋体" w:hAnsi="宋体" w:eastAsia="宋体" w:cs="宋体"/>
          <w:color w:val="auto"/>
          <w:sz w:val="21"/>
          <w:szCs w:val="21"/>
          <w:highlight w:val="none"/>
        </w:rPr>
        <w:t>点</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0分（（北京时间）；</w:t>
      </w:r>
    </w:p>
    <w:p w14:paraId="2F40D723">
      <w:pPr>
        <w:widowControl/>
        <w:spacing w:line="42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地点：</w:t>
      </w:r>
      <w:r>
        <w:rPr>
          <w:rFonts w:hint="eastAsia" w:ascii="宋体" w:hAnsi="宋体" w:eastAsia="宋体" w:cs="宋体"/>
          <w:color w:val="auto"/>
          <w:sz w:val="21"/>
          <w:szCs w:val="21"/>
          <w:highlight w:val="none"/>
          <w:lang w:eastAsia="zh-CN"/>
        </w:rPr>
        <w:t>江苏佳宸全过程工程咨询有限公司开标室（常州市金坛区中景商务中心A座1909室）</w:t>
      </w:r>
      <w:r>
        <w:rPr>
          <w:rFonts w:hint="eastAsia" w:ascii="宋体" w:hAnsi="宋体" w:eastAsia="宋体" w:cs="宋体"/>
          <w:color w:val="auto"/>
          <w:sz w:val="21"/>
          <w:szCs w:val="21"/>
          <w:highlight w:val="none"/>
        </w:rPr>
        <w:t>。</w:t>
      </w:r>
    </w:p>
    <w:p w14:paraId="7B72B140">
      <w:pPr>
        <w:widowControl/>
        <w:spacing w:line="420" w:lineRule="exac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六、公告期限</w:t>
      </w:r>
    </w:p>
    <w:p w14:paraId="072FD778">
      <w:pPr>
        <w:spacing w:line="360" w:lineRule="auto"/>
        <w:ind w:firstLine="420" w:firstLineChars="200"/>
        <w:rPr>
          <w:rFonts w:hint="eastAsia" w:ascii="宋体" w:hAnsi="宋体" w:eastAsia="宋体" w:cs="宋体"/>
          <w:color w:val="auto"/>
          <w:kern w:val="0"/>
          <w:sz w:val="21"/>
          <w:szCs w:val="21"/>
          <w:highlight w:val="none"/>
        </w:rPr>
      </w:pPr>
      <w:bookmarkStart w:id="3" w:name="_Toc35393804"/>
      <w:bookmarkStart w:id="4" w:name="_Toc35393635"/>
      <w:r>
        <w:rPr>
          <w:rFonts w:hint="eastAsia" w:ascii="宋体" w:hAnsi="宋体" w:eastAsia="宋体" w:cs="宋体"/>
          <w:color w:val="auto"/>
          <w:kern w:val="0"/>
          <w:sz w:val="21"/>
          <w:szCs w:val="21"/>
          <w:highlight w:val="none"/>
        </w:rPr>
        <w:t>自本公告发布之日起3个工作日。</w:t>
      </w:r>
    </w:p>
    <w:p w14:paraId="4E2D01A5">
      <w:pPr>
        <w:widowControl/>
        <w:spacing w:line="420" w:lineRule="exac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七、其他补充事宜</w:t>
      </w:r>
      <w:bookmarkEnd w:id="3"/>
      <w:bookmarkEnd w:id="4"/>
    </w:p>
    <w:p w14:paraId="774358FE">
      <w:pPr>
        <w:widowControl/>
        <w:spacing w:line="420" w:lineRule="exact"/>
        <w:ind w:firstLine="422" w:firstLineChars="200"/>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无</w:t>
      </w:r>
    </w:p>
    <w:p w14:paraId="5BAE84CE">
      <w:pPr>
        <w:widowControl/>
        <w:spacing w:line="420" w:lineRule="exact"/>
        <w:jc w:val="left"/>
        <w:rPr>
          <w:rFonts w:hint="eastAsia" w:ascii="宋体" w:hAnsi="宋体" w:eastAsia="宋体" w:cs="宋体"/>
          <w:b/>
          <w:color w:val="auto"/>
          <w:sz w:val="21"/>
          <w:szCs w:val="21"/>
          <w:highlight w:val="none"/>
        </w:rPr>
      </w:pPr>
      <w:bookmarkStart w:id="5" w:name="_Toc35393805"/>
      <w:bookmarkStart w:id="6" w:name="_Toc35393636"/>
      <w:bookmarkStart w:id="7" w:name="_Toc28359018"/>
      <w:bookmarkStart w:id="8" w:name="_Toc28359095"/>
      <w:r>
        <w:rPr>
          <w:rFonts w:hint="eastAsia" w:ascii="宋体" w:hAnsi="宋体" w:eastAsia="宋体" w:cs="宋体"/>
          <w:b/>
          <w:color w:val="auto"/>
          <w:sz w:val="21"/>
          <w:szCs w:val="21"/>
          <w:highlight w:val="none"/>
        </w:rPr>
        <w:t>八、凡对本次招标提出询问，请按以下方式联系。</w:t>
      </w:r>
      <w:bookmarkEnd w:id="5"/>
      <w:bookmarkEnd w:id="6"/>
      <w:bookmarkEnd w:id="7"/>
      <w:bookmarkEnd w:id="8"/>
    </w:p>
    <w:p w14:paraId="451E0CAB">
      <w:pPr>
        <w:widowControl/>
        <w:spacing w:line="42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1.采购人信息</w:t>
      </w:r>
    </w:p>
    <w:p w14:paraId="7582B617">
      <w:pPr>
        <w:widowControl/>
        <w:spacing w:line="42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名    称：江苏省金坛中等专业学校</w:t>
      </w:r>
    </w:p>
    <w:p w14:paraId="08521A47">
      <w:pPr>
        <w:widowControl/>
        <w:spacing w:line="42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址：常州市金坛经济开发区汇贤南路1号</w:t>
      </w:r>
    </w:p>
    <w:p w14:paraId="096A6438">
      <w:pPr>
        <w:widowControl/>
        <w:spacing w:line="42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联系方式：0519-82334359</w:t>
      </w:r>
    </w:p>
    <w:p w14:paraId="2BFFE2D5">
      <w:pPr>
        <w:widowControl/>
        <w:spacing w:line="42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2.采购代理机构信息</w:t>
      </w:r>
    </w:p>
    <w:p w14:paraId="17356E1B">
      <w:pPr>
        <w:widowControl/>
        <w:spacing w:line="420" w:lineRule="exact"/>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名    称：</w:t>
      </w:r>
      <w:r>
        <w:rPr>
          <w:rFonts w:hint="eastAsia" w:ascii="宋体" w:hAnsi="宋体" w:eastAsia="宋体" w:cs="宋体"/>
          <w:color w:val="auto"/>
          <w:sz w:val="21"/>
          <w:szCs w:val="21"/>
          <w:highlight w:val="none"/>
          <w:lang w:eastAsia="zh-CN"/>
        </w:rPr>
        <w:t>江苏佳宸全过程工程咨询有限公司</w:t>
      </w:r>
    </w:p>
    <w:p w14:paraId="2DAEE102">
      <w:pPr>
        <w:widowControl/>
        <w:spacing w:line="42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w:t>
      </w:r>
      <w:r>
        <w:rPr>
          <w:rFonts w:hint="eastAsia" w:ascii="宋体" w:hAnsi="宋体" w:eastAsia="宋体" w:cs="宋体"/>
          <w:color w:val="auto"/>
          <w:sz w:val="21"/>
          <w:szCs w:val="21"/>
          <w:highlight w:val="none"/>
          <w:lang w:eastAsia="zh-CN"/>
        </w:rPr>
        <w:t xml:space="preserve">常州市金坛区中景商务中心A座1909室 </w:t>
      </w:r>
      <w:r>
        <w:rPr>
          <w:rFonts w:hint="eastAsia" w:ascii="宋体" w:hAnsi="宋体" w:eastAsia="宋体" w:cs="宋体"/>
          <w:color w:val="auto"/>
          <w:sz w:val="21"/>
          <w:szCs w:val="21"/>
          <w:highlight w:val="none"/>
        </w:rPr>
        <w:t xml:space="preserve"> </w:t>
      </w:r>
    </w:p>
    <w:p w14:paraId="5F6FE6C0">
      <w:pPr>
        <w:widowControl/>
        <w:spacing w:line="42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联系方式</w:t>
      </w:r>
      <w:r>
        <w:rPr>
          <w:rFonts w:hint="eastAsia" w:ascii="宋体" w:hAnsi="宋体" w:eastAsia="宋体" w:cs="宋体"/>
          <w:color w:val="auto"/>
          <w:sz w:val="21"/>
          <w:szCs w:val="21"/>
          <w:highlight w:val="none"/>
          <w:lang w:eastAsia="zh-CN"/>
        </w:rPr>
        <w:t>：0519-82828199</w:t>
      </w:r>
    </w:p>
    <w:p w14:paraId="6277B345">
      <w:pPr>
        <w:widowControl/>
        <w:spacing w:line="42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3.项目联系方式</w:t>
      </w:r>
    </w:p>
    <w:p w14:paraId="03665BBC">
      <w:pPr>
        <w:widowControl/>
        <w:spacing w:line="420" w:lineRule="exac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项目联系人：</w:t>
      </w:r>
      <w:r>
        <w:rPr>
          <w:rFonts w:hint="eastAsia" w:ascii="宋体" w:hAnsi="宋体" w:eastAsia="宋体" w:cs="宋体"/>
          <w:color w:val="auto"/>
          <w:sz w:val="21"/>
          <w:szCs w:val="21"/>
          <w:highlight w:val="none"/>
          <w:lang w:val="en-US" w:eastAsia="zh-CN"/>
        </w:rPr>
        <w:t>虞</w:t>
      </w:r>
      <w:r>
        <w:rPr>
          <w:rFonts w:hint="eastAsia" w:ascii="宋体" w:hAnsi="宋体" w:eastAsia="宋体" w:cs="宋体"/>
          <w:color w:val="auto"/>
          <w:sz w:val="21"/>
          <w:szCs w:val="21"/>
          <w:highlight w:val="none"/>
        </w:rPr>
        <w:t>女士</w:t>
      </w:r>
    </w:p>
    <w:p w14:paraId="5BA89EAD">
      <w:pPr>
        <w:widowControl/>
        <w:spacing w:line="420" w:lineRule="exact"/>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电   话：</w:t>
      </w:r>
      <w:r>
        <w:rPr>
          <w:rFonts w:hint="eastAsia" w:ascii="宋体" w:hAnsi="宋体" w:eastAsia="宋体" w:cs="宋体"/>
          <w:color w:val="auto"/>
          <w:sz w:val="21"/>
          <w:szCs w:val="21"/>
          <w:highlight w:val="none"/>
          <w:lang w:eastAsia="zh-CN"/>
        </w:rPr>
        <w:t>0519-82828199</w:t>
      </w:r>
    </w:p>
    <w:p w14:paraId="718DE4C8">
      <w:pPr>
        <w:spacing w:line="440" w:lineRule="exact"/>
        <w:rPr>
          <w:rFonts w:ascii="宋体" w:hAnsi="宋体" w:cs="宋体"/>
          <w:b/>
          <w:bCs/>
          <w:color w:val="auto"/>
          <w:kern w:val="20"/>
          <w:sz w:val="21"/>
          <w:szCs w:val="21"/>
          <w:highlight w:val="none"/>
        </w:rPr>
      </w:pPr>
    </w:p>
    <w:p w14:paraId="6D79EB99">
      <w:pPr>
        <w:spacing w:line="440" w:lineRule="exact"/>
        <w:ind w:firstLine="525" w:firstLineChars="250"/>
        <w:rPr>
          <w:rFonts w:cs="宋体" w:asciiTheme="majorEastAsia" w:hAnsiTheme="majorEastAsia" w:eastAsiaTheme="majorEastAsia"/>
          <w:color w:val="auto"/>
          <w:sz w:val="21"/>
          <w:szCs w:val="21"/>
          <w:highlight w:val="none"/>
        </w:rPr>
      </w:pPr>
    </w:p>
    <w:p w14:paraId="411B49D0">
      <w:pPr>
        <w:widowControl/>
        <w:spacing w:line="440" w:lineRule="exact"/>
        <w:jc w:val="left"/>
        <w:rPr>
          <w:rFonts w:asciiTheme="majorEastAsia" w:hAnsiTheme="majorEastAsia" w:eastAsiaTheme="majorEastAsia"/>
          <w:b/>
          <w:color w:val="auto"/>
          <w:sz w:val="21"/>
          <w:szCs w:val="21"/>
          <w:highlight w:val="none"/>
        </w:rPr>
      </w:pPr>
    </w:p>
    <w:p w14:paraId="47AA6FD4">
      <w:pPr>
        <w:rPr>
          <w:rFonts w:ascii="宋体" w:hAnsi="宋体" w:cs="宋体"/>
          <w:color w:val="auto"/>
          <w:sz w:val="21"/>
          <w:szCs w:val="21"/>
          <w:highlight w:val="none"/>
        </w:rPr>
      </w:pPr>
      <w:r>
        <w:rPr>
          <w:rFonts w:hint="eastAsia" w:ascii="宋体" w:hAnsi="宋体" w:cs="宋体"/>
          <w:color w:val="auto"/>
          <w:sz w:val="21"/>
          <w:szCs w:val="21"/>
          <w:highlight w:val="none"/>
        </w:rPr>
        <w:br w:type="page"/>
      </w:r>
    </w:p>
    <w:p w14:paraId="64B8B1AE">
      <w:pPr>
        <w:spacing w:line="420" w:lineRule="exact"/>
        <w:jc w:val="center"/>
        <w:outlineLvl w:val="0"/>
        <w:rPr>
          <w:rFonts w:ascii="宋体" w:hAnsi="宋体" w:cs="宋体"/>
          <w:b/>
          <w:bCs/>
          <w:color w:val="auto"/>
          <w:sz w:val="24"/>
          <w:szCs w:val="24"/>
          <w:highlight w:val="none"/>
        </w:rPr>
      </w:pPr>
      <w:r>
        <w:rPr>
          <w:rFonts w:hint="eastAsia" w:ascii="宋体" w:hAnsi="宋体" w:cs="宋体"/>
          <w:b/>
          <w:bCs/>
          <w:color w:val="auto"/>
          <w:sz w:val="24"/>
          <w:szCs w:val="24"/>
          <w:highlight w:val="none"/>
        </w:rPr>
        <w:t>第二部分</w:t>
      </w:r>
      <w:r>
        <w:rPr>
          <w:rFonts w:ascii="宋体" w:hAnsi="宋体" w:cs="宋体"/>
          <w:b/>
          <w:bCs/>
          <w:color w:val="auto"/>
          <w:sz w:val="24"/>
          <w:szCs w:val="24"/>
          <w:highlight w:val="none"/>
        </w:rPr>
        <w:t xml:space="preserve">  </w:t>
      </w:r>
      <w:r>
        <w:rPr>
          <w:rFonts w:hint="eastAsia" w:ascii="宋体" w:hAnsi="宋体" w:cs="宋体"/>
          <w:b/>
          <w:bCs/>
          <w:color w:val="auto"/>
          <w:sz w:val="24"/>
          <w:szCs w:val="24"/>
          <w:highlight w:val="none"/>
        </w:rPr>
        <w:t>响应人须知前附表</w:t>
      </w:r>
    </w:p>
    <w:tbl>
      <w:tblPr>
        <w:tblStyle w:val="27"/>
        <w:tblW w:w="95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0"/>
        <w:gridCol w:w="2249"/>
        <w:gridCol w:w="6647"/>
      </w:tblGrid>
      <w:tr w14:paraId="52EDBE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top w:val="single" w:color="auto" w:sz="4" w:space="0"/>
              <w:bottom w:val="single" w:color="auto" w:sz="4" w:space="0"/>
              <w:right w:val="single" w:color="auto" w:sz="4" w:space="0"/>
            </w:tcBorders>
            <w:vAlign w:val="center"/>
          </w:tcPr>
          <w:p w14:paraId="7A347399">
            <w:pPr>
              <w:snapToGrid w:val="0"/>
              <w:spacing w:line="410" w:lineRule="exact"/>
              <w:jc w:val="center"/>
              <w:rPr>
                <w:rFonts w:ascii="宋体" w:hAnsi="宋体" w:cs="宋体"/>
                <w:b/>
                <w:color w:val="auto"/>
                <w:spacing w:val="2"/>
                <w:sz w:val="21"/>
                <w:szCs w:val="21"/>
                <w:highlight w:val="none"/>
              </w:rPr>
            </w:pPr>
            <w:r>
              <w:rPr>
                <w:rFonts w:hint="eastAsia" w:ascii="宋体" w:hAnsi="宋体" w:cs="宋体"/>
                <w:b/>
                <w:color w:val="auto"/>
                <w:spacing w:val="2"/>
                <w:sz w:val="21"/>
                <w:szCs w:val="21"/>
                <w:highlight w:val="none"/>
                <w:lang w:val="zh-CN"/>
              </w:rPr>
              <w:t>序号</w:t>
            </w:r>
          </w:p>
        </w:tc>
        <w:tc>
          <w:tcPr>
            <w:tcW w:w="2249" w:type="dxa"/>
            <w:tcBorders>
              <w:top w:val="single" w:color="auto" w:sz="4" w:space="0"/>
              <w:left w:val="single" w:color="auto" w:sz="4" w:space="0"/>
              <w:bottom w:val="single" w:color="auto" w:sz="4" w:space="0"/>
              <w:right w:val="single" w:color="auto" w:sz="4" w:space="0"/>
            </w:tcBorders>
            <w:vAlign w:val="center"/>
          </w:tcPr>
          <w:p w14:paraId="55B0F440">
            <w:pPr>
              <w:snapToGrid w:val="0"/>
              <w:spacing w:line="410" w:lineRule="exact"/>
              <w:jc w:val="center"/>
              <w:rPr>
                <w:rFonts w:ascii="宋体" w:hAnsi="宋体" w:cs="宋体"/>
                <w:b/>
                <w:color w:val="auto"/>
                <w:spacing w:val="2"/>
                <w:sz w:val="21"/>
                <w:szCs w:val="21"/>
                <w:highlight w:val="none"/>
                <w:lang w:val="zh-CN"/>
              </w:rPr>
            </w:pPr>
            <w:r>
              <w:rPr>
                <w:rFonts w:hint="eastAsia" w:ascii="宋体" w:hAnsi="宋体" w:cs="宋体"/>
                <w:b/>
                <w:color w:val="auto"/>
                <w:spacing w:val="2"/>
                <w:sz w:val="21"/>
                <w:szCs w:val="21"/>
                <w:highlight w:val="none"/>
                <w:lang w:val="zh-CN"/>
              </w:rPr>
              <w:t>内容</w:t>
            </w:r>
          </w:p>
        </w:tc>
        <w:tc>
          <w:tcPr>
            <w:tcW w:w="6647" w:type="dxa"/>
            <w:tcBorders>
              <w:top w:val="single" w:color="auto" w:sz="4" w:space="0"/>
              <w:left w:val="single" w:color="auto" w:sz="4" w:space="0"/>
              <w:bottom w:val="single" w:color="auto" w:sz="4" w:space="0"/>
            </w:tcBorders>
            <w:vAlign w:val="center"/>
          </w:tcPr>
          <w:p w14:paraId="2E8CFAC9">
            <w:pPr>
              <w:snapToGrid w:val="0"/>
              <w:spacing w:line="410" w:lineRule="exact"/>
              <w:jc w:val="center"/>
              <w:rPr>
                <w:rFonts w:ascii="宋体" w:hAnsi="宋体" w:cs="宋体"/>
                <w:b/>
                <w:color w:val="auto"/>
                <w:spacing w:val="2"/>
                <w:sz w:val="21"/>
                <w:szCs w:val="21"/>
                <w:highlight w:val="none"/>
              </w:rPr>
            </w:pPr>
            <w:r>
              <w:rPr>
                <w:rFonts w:hint="eastAsia" w:ascii="宋体" w:hAnsi="宋体" w:cs="宋体"/>
                <w:b/>
                <w:color w:val="auto"/>
                <w:spacing w:val="2"/>
                <w:sz w:val="21"/>
                <w:szCs w:val="21"/>
                <w:highlight w:val="none"/>
                <w:lang w:val="zh-CN"/>
              </w:rPr>
              <w:t>说明与要求</w:t>
            </w:r>
          </w:p>
        </w:tc>
      </w:tr>
      <w:tr w14:paraId="2EAE10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top w:val="single" w:color="auto" w:sz="4" w:space="0"/>
              <w:bottom w:val="single" w:color="auto" w:sz="4" w:space="0"/>
              <w:right w:val="single" w:color="auto" w:sz="4" w:space="0"/>
            </w:tcBorders>
            <w:vAlign w:val="center"/>
          </w:tcPr>
          <w:p w14:paraId="47FACE17">
            <w:pPr>
              <w:spacing w:line="410" w:lineRule="exact"/>
              <w:jc w:val="center"/>
              <w:rPr>
                <w:rFonts w:asciiTheme="majorEastAsia" w:hAnsiTheme="majorEastAsia" w:eastAsiaTheme="majorEastAsia"/>
                <w:color w:val="auto"/>
                <w:sz w:val="21"/>
                <w:szCs w:val="21"/>
                <w:highlight w:val="none"/>
                <w:lang w:val="zh-CN"/>
              </w:rPr>
            </w:pPr>
            <w:r>
              <w:rPr>
                <w:rFonts w:asciiTheme="majorEastAsia" w:hAnsiTheme="majorEastAsia" w:eastAsiaTheme="majorEastAsia"/>
                <w:color w:val="auto"/>
                <w:sz w:val="21"/>
                <w:szCs w:val="21"/>
                <w:highlight w:val="none"/>
              </w:rPr>
              <w:t>1</w:t>
            </w:r>
          </w:p>
        </w:tc>
        <w:tc>
          <w:tcPr>
            <w:tcW w:w="2249" w:type="dxa"/>
            <w:tcBorders>
              <w:top w:val="single" w:color="auto" w:sz="4" w:space="0"/>
              <w:left w:val="single" w:color="auto" w:sz="4" w:space="0"/>
              <w:bottom w:val="single" w:color="auto" w:sz="4" w:space="0"/>
              <w:right w:val="single" w:color="auto" w:sz="4" w:space="0"/>
            </w:tcBorders>
            <w:vAlign w:val="center"/>
          </w:tcPr>
          <w:p w14:paraId="3A4F2FBB">
            <w:pPr>
              <w:spacing w:line="410" w:lineRule="exact"/>
              <w:jc w:val="center"/>
              <w:rPr>
                <w:rFonts w:asciiTheme="majorEastAsia" w:hAnsiTheme="majorEastAsia" w:eastAsiaTheme="majorEastAsia"/>
                <w:color w:val="auto"/>
                <w:sz w:val="21"/>
                <w:szCs w:val="21"/>
                <w:highlight w:val="none"/>
                <w:lang w:val="zh-CN"/>
              </w:rPr>
            </w:pPr>
            <w:r>
              <w:rPr>
                <w:rFonts w:hint="eastAsia" w:asciiTheme="majorEastAsia" w:hAnsiTheme="majorEastAsia" w:eastAsiaTheme="majorEastAsia"/>
                <w:color w:val="auto"/>
                <w:sz w:val="21"/>
                <w:szCs w:val="21"/>
                <w:highlight w:val="none"/>
                <w:lang w:val="zh-CN"/>
              </w:rPr>
              <w:t>项目属性</w:t>
            </w:r>
          </w:p>
        </w:tc>
        <w:tc>
          <w:tcPr>
            <w:tcW w:w="6647" w:type="dxa"/>
            <w:tcBorders>
              <w:top w:val="single" w:color="auto" w:sz="4" w:space="0"/>
              <w:left w:val="single" w:color="auto" w:sz="4" w:space="0"/>
              <w:bottom w:val="single" w:color="auto" w:sz="4" w:space="0"/>
            </w:tcBorders>
            <w:vAlign w:val="center"/>
          </w:tcPr>
          <w:p w14:paraId="0E870D3E">
            <w:pPr>
              <w:spacing w:line="410" w:lineRule="exact"/>
              <w:rPr>
                <w:rFonts w:asciiTheme="majorEastAsia" w:hAnsiTheme="majorEastAsia" w:eastAsiaTheme="majorEastAsia"/>
                <w:color w:val="auto"/>
                <w:sz w:val="21"/>
                <w:szCs w:val="21"/>
                <w:highlight w:val="none"/>
                <w:lang w:val="zh-CN"/>
              </w:rPr>
            </w:pPr>
            <w:r>
              <w:rPr>
                <w:rFonts w:hint="eastAsia" w:asciiTheme="majorEastAsia" w:hAnsiTheme="majorEastAsia" w:eastAsiaTheme="majorEastAsia"/>
                <w:color w:val="auto"/>
                <w:sz w:val="21"/>
                <w:szCs w:val="21"/>
                <w:highlight w:val="none"/>
                <w:lang w:val="zh-CN"/>
              </w:rPr>
              <w:t>项目属性：</w:t>
            </w:r>
          </w:p>
          <w:p w14:paraId="0F9200F0">
            <w:pPr>
              <w:spacing w:line="410" w:lineRule="exact"/>
              <w:rPr>
                <w:rFonts w:asciiTheme="majorEastAsia" w:hAnsiTheme="majorEastAsia" w:eastAsiaTheme="majorEastAsia"/>
                <w:color w:val="auto"/>
                <w:sz w:val="21"/>
                <w:szCs w:val="21"/>
                <w:highlight w:val="none"/>
                <w:lang w:val="zh-CN"/>
              </w:rPr>
            </w:pPr>
            <w:r>
              <w:rPr>
                <w:rFonts w:hint="eastAsia" w:asciiTheme="majorEastAsia" w:hAnsiTheme="majorEastAsia" w:eastAsiaTheme="majorEastAsia"/>
                <w:color w:val="auto"/>
                <w:sz w:val="21"/>
                <w:szCs w:val="21"/>
                <w:highlight w:val="none"/>
                <w:lang w:val="zh-CN"/>
              </w:rPr>
              <w:t>☑服务</w:t>
            </w:r>
          </w:p>
          <w:p w14:paraId="528A1144">
            <w:pPr>
              <w:spacing w:line="410" w:lineRule="exact"/>
              <w:rPr>
                <w:rFonts w:asciiTheme="majorEastAsia" w:hAnsiTheme="majorEastAsia" w:eastAsiaTheme="majorEastAsia"/>
                <w:color w:val="auto"/>
                <w:sz w:val="21"/>
                <w:szCs w:val="21"/>
                <w:highlight w:val="none"/>
                <w:lang w:val="zh-CN"/>
              </w:rPr>
            </w:pPr>
            <w:r>
              <w:rPr>
                <w:rFonts w:hint="eastAsia" w:asciiTheme="majorEastAsia" w:hAnsiTheme="majorEastAsia" w:eastAsiaTheme="majorEastAsia"/>
                <w:color w:val="auto"/>
                <w:sz w:val="21"/>
                <w:szCs w:val="21"/>
                <w:highlight w:val="none"/>
                <w:lang w:val="zh-CN"/>
              </w:rPr>
              <w:t>□货物</w:t>
            </w:r>
          </w:p>
          <w:p w14:paraId="34FD26F5">
            <w:pPr>
              <w:spacing w:line="410" w:lineRule="exact"/>
              <w:rPr>
                <w:rFonts w:asciiTheme="majorEastAsia" w:hAnsiTheme="majorEastAsia" w:eastAsiaTheme="majorEastAsia"/>
                <w:color w:val="auto"/>
                <w:sz w:val="21"/>
                <w:szCs w:val="21"/>
                <w:highlight w:val="none"/>
                <w:lang w:val="zh-CN"/>
              </w:rPr>
            </w:pPr>
            <w:r>
              <w:rPr>
                <w:rFonts w:hint="eastAsia" w:asciiTheme="majorEastAsia" w:hAnsiTheme="majorEastAsia" w:eastAsiaTheme="majorEastAsia"/>
                <w:color w:val="auto"/>
                <w:sz w:val="21"/>
                <w:szCs w:val="21"/>
                <w:highlight w:val="none"/>
                <w:lang w:val="zh-CN"/>
              </w:rPr>
              <w:t>□工程</w:t>
            </w:r>
          </w:p>
        </w:tc>
      </w:tr>
      <w:tr w14:paraId="2A996A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top w:val="single" w:color="auto" w:sz="4" w:space="0"/>
              <w:bottom w:val="single" w:color="auto" w:sz="4" w:space="0"/>
              <w:right w:val="single" w:color="auto" w:sz="4" w:space="0"/>
            </w:tcBorders>
            <w:vAlign w:val="center"/>
          </w:tcPr>
          <w:p w14:paraId="03250DCB">
            <w:pPr>
              <w:spacing w:line="410" w:lineRule="exact"/>
              <w:jc w:val="center"/>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w:t>
            </w:r>
          </w:p>
        </w:tc>
        <w:tc>
          <w:tcPr>
            <w:tcW w:w="2249" w:type="dxa"/>
            <w:tcBorders>
              <w:top w:val="single" w:color="auto" w:sz="4" w:space="0"/>
              <w:left w:val="single" w:color="auto" w:sz="4" w:space="0"/>
              <w:bottom w:val="single" w:color="auto" w:sz="4" w:space="0"/>
              <w:right w:val="single" w:color="auto" w:sz="4" w:space="0"/>
            </w:tcBorders>
            <w:vAlign w:val="center"/>
          </w:tcPr>
          <w:p w14:paraId="5C9ABBDB">
            <w:pPr>
              <w:spacing w:line="410" w:lineRule="exact"/>
              <w:jc w:val="center"/>
              <w:rPr>
                <w:rFonts w:asciiTheme="majorEastAsia" w:hAnsiTheme="majorEastAsia" w:eastAsiaTheme="majorEastAsia"/>
                <w:color w:val="auto"/>
                <w:sz w:val="21"/>
                <w:szCs w:val="21"/>
                <w:highlight w:val="none"/>
                <w:lang w:val="zh-CN"/>
              </w:rPr>
            </w:pPr>
            <w:r>
              <w:rPr>
                <w:rFonts w:hint="eastAsia" w:cs="宋体" w:asciiTheme="majorEastAsia" w:hAnsiTheme="majorEastAsia" w:eastAsiaTheme="majorEastAsia"/>
                <w:color w:val="auto"/>
                <w:sz w:val="21"/>
                <w:szCs w:val="21"/>
                <w:highlight w:val="none"/>
              </w:rPr>
              <w:t>采购人名称</w:t>
            </w:r>
          </w:p>
        </w:tc>
        <w:tc>
          <w:tcPr>
            <w:tcW w:w="6647" w:type="dxa"/>
            <w:tcBorders>
              <w:top w:val="single" w:color="auto" w:sz="4" w:space="0"/>
              <w:left w:val="single" w:color="auto" w:sz="4" w:space="0"/>
              <w:bottom w:val="single" w:color="auto" w:sz="4" w:space="0"/>
            </w:tcBorders>
            <w:vAlign w:val="center"/>
          </w:tcPr>
          <w:p w14:paraId="333E1626">
            <w:pPr>
              <w:snapToGrid w:val="0"/>
              <w:spacing w:line="410" w:lineRule="exact"/>
              <w:rPr>
                <w:rFonts w:ascii="宋体" w:hAnsi="宋体" w:cs="宋体"/>
                <w:b/>
                <w:color w:val="auto"/>
                <w:spacing w:val="2"/>
                <w:sz w:val="21"/>
                <w:szCs w:val="21"/>
                <w:highlight w:val="none"/>
                <w:lang w:val="zh-CN"/>
              </w:rPr>
            </w:pPr>
            <w:r>
              <w:rPr>
                <w:rFonts w:hint="eastAsia" w:cs="宋体" w:asciiTheme="majorEastAsia" w:hAnsiTheme="majorEastAsia" w:eastAsiaTheme="majorEastAsia"/>
                <w:color w:val="auto"/>
                <w:sz w:val="21"/>
                <w:szCs w:val="21"/>
                <w:highlight w:val="none"/>
              </w:rPr>
              <w:t>江苏省金坛中等专业学校</w:t>
            </w:r>
          </w:p>
        </w:tc>
      </w:tr>
      <w:tr w14:paraId="658CBC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4" w:hRule="atLeast"/>
          <w:jc w:val="center"/>
        </w:trPr>
        <w:tc>
          <w:tcPr>
            <w:tcW w:w="700" w:type="dxa"/>
            <w:tcBorders>
              <w:top w:val="single" w:color="auto" w:sz="4" w:space="0"/>
              <w:bottom w:val="single" w:color="auto" w:sz="4" w:space="0"/>
              <w:right w:val="single" w:color="auto" w:sz="4" w:space="0"/>
            </w:tcBorders>
            <w:vAlign w:val="center"/>
          </w:tcPr>
          <w:p w14:paraId="6CBF0807">
            <w:pPr>
              <w:spacing w:line="410" w:lineRule="exact"/>
              <w:jc w:val="center"/>
              <w:rPr>
                <w:rFonts w:asciiTheme="majorEastAsia" w:hAnsiTheme="majorEastAsia" w:eastAsiaTheme="majorEastAsia"/>
                <w:color w:val="auto"/>
                <w:sz w:val="21"/>
                <w:szCs w:val="21"/>
                <w:highlight w:val="none"/>
                <w:lang w:val="zh-CN"/>
              </w:rPr>
            </w:pPr>
            <w:r>
              <w:rPr>
                <w:rFonts w:asciiTheme="majorEastAsia" w:hAnsiTheme="majorEastAsia" w:eastAsiaTheme="majorEastAsia"/>
                <w:color w:val="auto"/>
                <w:sz w:val="21"/>
                <w:szCs w:val="21"/>
                <w:highlight w:val="none"/>
              </w:rPr>
              <w:t>3</w:t>
            </w:r>
          </w:p>
        </w:tc>
        <w:tc>
          <w:tcPr>
            <w:tcW w:w="2249" w:type="dxa"/>
            <w:tcBorders>
              <w:top w:val="single" w:color="auto" w:sz="4" w:space="0"/>
              <w:left w:val="single" w:color="auto" w:sz="4" w:space="0"/>
              <w:bottom w:val="single" w:color="auto" w:sz="4" w:space="0"/>
              <w:right w:val="single" w:color="auto" w:sz="4" w:space="0"/>
            </w:tcBorders>
            <w:vAlign w:val="center"/>
          </w:tcPr>
          <w:p w14:paraId="405E6C57">
            <w:pPr>
              <w:spacing w:line="410" w:lineRule="exact"/>
              <w:jc w:val="center"/>
              <w:rPr>
                <w:rFonts w:asciiTheme="majorEastAsia" w:hAnsiTheme="majorEastAsia" w:eastAsiaTheme="majorEastAsia"/>
                <w:color w:val="auto"/>
                <w:sz w:val="21"/>
                <w:szCs w:val="21"/>
                <w:highlight w:val="none"/>
                <w:lang w:val="zh-CN"/>
              </w:rPr>
            </w:pPr>
            <w:r>
              <w:rPr>
                <w:rFonts w:hint="eastAsia" w:cs="宋体" w:asciiTheme="majorEastAsia" w:hAnsiTheme="majorEastAsia" w:eastAsiaTheme="majorEastAsia"/>
                <w:color w:val="auto"/>
                <w:kern w:val="0"/>
                <w:sz w:val="21"/>
                <w:szCs w:val="21"/>
                <w:highlight w:val="none"/>
              </w:rPr>
              <w:t>项目预算</w:t>
            </w:r>
          </w:p>
        </w:tc>
        <w:tc>
          <w:tcPr>
            <w:tcW w:w="6647" w:type="dxa"/>
            <w:tcBorders>
              <w:top w:val="single" w:color="auto" w:sz="4" w:space="0"/>
              <w:left w:val="single" w:color="auto" w:sz="4" w:space="0"/>
              <w:bottom w:val="single" w:color="auto" w:sz="4" w:space="0"/>
            </w:tcBorders>
            <w:vAlign w:val="center"/>
          </w:tcPr>
          <w:p w14:paraId="2FF74890">
            <w:pPr>
              <w:spacing w:line="410" w:lineRule="exact"/>
              <w:rPr>
                <w:rFonts w:cs="宋体" w:asciiTheme="majorEastAsia" w:hAnsiTheme="majorEastAsia" w:eastAsiaTheme="majorEastAsia"/>
                <w:color w:val="auto"/>
                <w:sz w:val="21"/>
                <w:szCs w:val="21"/>
                <w:highlight w:val="none"/>
                <w:lang w:val="zh-CN"/>
              </w:rPr>
            </w:pPr>
            <w:r>
              <w:rPr>
                <w:rFonts w:hint="eastAsia" w:cs="宋体" w:asciiTheme="majorEastAsia" w:hAnsiTheme="majorEastAsia" w:eastAsiaTheme="majorEastAsia"/>
                <w:color w:val="auto"/>
                <w:sz w:val="21"/>
                <w:szCs w:val="21"/>
                <w:highlight w:val="none"/>
              </w:rPr>
              <w:t>本项目预算为</w:t>
            </w:r>
            <w:r>
              <w:rPr>
                <w:rFonts w:hint="eastAsia" w:ascii="宋体" w:hAnsi="宋体" w:eastAsia="宋体" w:cs="宋体"/>
                <w:b w:val="0"/>
                <w:bCs/>
                <w:color w:val="auto"/>
                <w:sz w:val="21"/>
                <w:szCs w:val="21"/>
                <w:highlight w:val="none"/>
                <w:lang w:val="en-US" w:eastAsia="zh-CN"/>
              </w:rPr>
              <w:t>422000元</w:t>
            </w:r>
          </w:p>
        </w:tc>
      </w:tr>
      <w:tr w14:paraId="006FB9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top w:val="single" w:color="auto" w:sz="4" w:space="0"/>
              <w:bottom w:val="single" w:color="auto" w:sz="4" w:space="0"/>
              <w:right w:val="single" w:color="auto" w:sz="4" w:space="0"/>
            </w:tcBorders>
            <w:vAlign w:val="center"/>
          </w:tcPr>
          <w:p w14:paraId="56521DBC">
            <w:pPr>
              <w:spacing w:line="410" w:lineRule="exact"/>
              <w:jc w:val="center"/>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4</w:t>
            </w:r>
          </w:p>
        </w:tc>
        <w:tc>
          <w:tcPr>
            <w:tcW w:w="2249" w:type="dxa"/>
            <w:tcBorders>
              <w:top w:val="single" w:color="auto" w:sz="4" w:space="0"/>
              <w:left w:val="single" w:color="auto" w:sz="4" w:space="0"/>
              <w:bottom w:val="single" w:color="auto" w:sz="4" w:space="0"/>
              <w:right w:val="single" w:color="auto" w:sz="4" w:space="0"/>
            </w:tcBorders>
            <w:vAlign w:val="center"/>
          </w:tcPr>
          <w:p w14:paraId="070DB1FF">
            <w:pPr>
              <w:spacing w:line="41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是否有最高限价</w:t>
            </w:r>
          </w:p>
        </w:tc>
        <w:tc>
          <w:tcPr>
            <w:tcW w:w="6647" w:type="dxa"/>
            <w:tcBorders>
              <w:top w:val="single" w:color="auto" w:sz="4" w:space="0"/>
              <w:left w:val="single" w:color="auto" w:sz="4" w:space="0"/>
              <w:bottom w:val="single" w:color="auto" w:sz="4" w:space="0"/>
            </w:tcBorders>
            <w:vAlign w:val="center"/>
          </w:tcPr>
          <w:p w14:paraId="4B1E6DE7">
            <w:pPr>
              <w:spacing w:line="410" w:lineRule="exact"/>
              <w:rPr>
                <w:rFonts w:cs="宋体" w:asciiTheme="majorEastAsia" w:hAnsiTheme="majorEastAsia" w:eastAsiaTheme="majorEastAsia"/>
                <w:color w:val="auto"/>
                <w:sz w:val="21"/>
                <w:szCs w:val="21"/>
                <w:highlight w:val="none"/>
              </w:rPr>
            </w:pPr>
            <w:r>
              <w:rPr>
                <w:rFonts w:hint="eastAsia" w:cs="宋体" w:asciiTheme="majorEastAsia" w:hAnsiTheme="majorEastAsia" w:eastAsiaTheme="majorEastAsia"/>
                <w:b/>
                <w:color w:val="auto"/>
                <w:sz w:val="21"/>
                <w:szCs w:val="21"/>
                <w:highlight w:val="none"/>
              </w:rPr>
              <w:t>*</w:t>
            </w:r>
            <w:r>
              <w:rPr>
                <w:rFonts w:hint="eastAsia" w:cs="宋体" w:asciiTheme="majorEastAsia" w:hAnsiTheme="majorEastAsia" w:eastAsiaTheme="majorEastAsia"/>
                <w:color w:val="auto"/>
                <w:sz w:val="21"/>
                <w:szCs w:val="21"/>
                <w:highlight w:val="none"/>
              </w:rPr>
              <w:t>有。最高限价：</w:t>
            </w:r>
            <w:r>
              <w:rPr>
                <w:rFonts w:hint="eastAsia" w:ascii="宋体" w:hAnsi="宋体" w:eastAsia="宋体" w:cs="宋体"/>
                <w:b w:val="0"/>
                <w:bCs/>
                <w:color w:val="auto"/>
                <w:sz w:val="21"/>
                <w:szCs w:val="21"/>
                <w:highlight w:val="none"/>
                <w:lang w:val="en-US" w:eastAsia="zh-CN"/>
              </w:rPr>
              <w:t>422000元</w:t>
            </w:r>
            <w:r>
              <w:rPr>
                <w:rFonts w:hint="eastAsia" w:cs="宋体" w:asciiTheme="majorEastAsia" w:hAnsiTheme="majorEastAsia" w:eastAsiaTheme="majorEastAsia"/>
                <w:color w:val="auto"/>
                <w:sz w:val="21"/>
                <w:szCs w:val="21"/>
                <w:highlight w:val="none"/>
                <w:lang w:val="en-US" w:eastAsia="zh-CN"/>
              </w:rPr>
              <w:t>（投标价不得高于控制价，否则作无效投标处理）。</w:t>
            </w:r>
          </w:p>
        </w:tc>
      </w:tr>
      <w:tr w14:paraId="575966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vMerge w:val="restart"/>
            <w:tcBorders>
              <w:top w:val="single" w:color="auto" w:sz="4" w:space="0"/>
              <w:bottom w:val="single" w:color="auto" w:sz="4" w:space="0"/>
              <w:right w:val="single" w:color="auto" w:sz="4" w:space="0"/>
            </w:tcBorders>
            <w:vAlign w:val="center"/>
          </w:tcPr>
          <w:p w14:paraId="26E79BB6">
            <w:pPr>
              <w:spacing w:line="41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5</w:t>
            </w:r>
          </w:p>
        </w:tc>
        <w:tc>
          <w:tcPr>
            <w:tcW w:w="2249" w:type="dxa"/>
            <w:vMerge w:val="restart"/>
            <w:tcBorders>
              <w:top w:val="single" w:color="auto" w:sz="4" w:space="0"/>
              <w:left w:val="single" w:color="auto" w:sz="4" w:space="0"/>
              <w:right w:val="single" w:color="auto" w:sz="4" w:space="0"/>
            </w:tcBorders>
            <w:vAlign w:val="center"/>
          </w:tcPr>
          <w:p w14:paraId="62B34889">
            <w:pPr>
              <w:spacing w:line="41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响应人资质条件和应具备的特殊要求</w:t>
            </w:r>
          </w:p>
        </w:tc>
        <w:tc>
          <w:tcPr>
            <w:tcW w:w="6647" w:type="dxa"/>
            <w:tcBorders>
              <w:top w:val="single" w:color="auto" w:sz="4" w:space="0"/>
              <w:left w:val="single" w:color="auto" w:sz="4" w:space="0"/>
              <w:bottom w:val="single" w:color="auto" w:sz="4" w:space="0"/>
            </w:tcBorders>
            <w:vAlign w:val="center"/>
          </w:tcPr>
          <w:p w14:paraId="239B7021">
            <w:pPr>
              <w:spacing w:line="410" w:lineRule="exact"/>
              <w:rPr>
                <w:rFonts w:asciiTheme="majorEastAsia" w:hAnsiTheme="majorEastAsia" w:eastAsiaTheme="majorEastAsia"/>
                <w:b/>
                <w:bCs/>
                <w:color w:val="auto"/>
                <w:sz w:val="21"/>
                <w:szCs w:val="21"/>
                <w:highlight w:val="none"/>
              </w:rPr>
            </w:pPr>
            <w:r>
              <w:rPr>
                <w:rFonts w:hint="eastAsia" w:asciiTheme="majorEastAsia" w:hAnsiTheme="majorEastAsia" w:eastAsiaTheme="majorEastAsia"/>
                <w:b/>
                <w:bCs/>
                <w:color w:val="auto"/>
                <w:sz w:val="21"/>
                <w:szCs w:val="21"/>
                <w:highlight w:val="none"/>
              </w:rPr>
              <w:t>*</w:t>
            </w:r>
            <w:r>
              <w:rPr>
                <w:rFonts w:asciiTheme="majorEastAsia" w:hAnsiTheme="majorEastAsia" w:eastAsiaTheme="majorEastAsia"/>
                <w:b/>
                <w:bCs/>
                <w:color w:val="auto"/>
                <w:sz w:val="21"/>
                <w:szCs w:val="21"/>
                <w:highlight w:val="none"/>
              </w:rPr>
              <w:t>5</w:t>
            </w:r>
            <w:r>
              <w:rPr>
                <w:rFonts w:hint="eastAsia" w:asciiTheme="majorEastAsia" w:hAnsiTheme="majorEastAsia" w:eastAsiaTheme="majorEastAsia"/>
                <w:b/>
                <w:bCs/>
                <w:color w:val="auto"/>
                <w:sz w:val="21"/>
                <w:szCs w:val="21"/>
                <w:highlight w:val="none"/>
              </w:rPr>
              <w:t>.1响应人基本资格条件（承诺）</w:t>
            </w:r>
          </w:p>
          <w:p w14:paraId="6D698F58">
            <w:pPr>
              <w:spacing w:line="410" w:lineRule="exact"/>
              <w:ind w:firstLine="420" w:firstLineChars="200"/>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rPr>
              <w:t>（1）我单位具有独立承担民事责任的能力；</w:t>
            </w:r>
          </w:p>
          <w:p w14:paraId="1A444C4B">
            <w:pPr>
              <w:spacing w:line="410" w:lineRule="exact"/>
              <w:ind w:firstLine="420" w:firstLineChars="200"/>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rPr>
              <w:t>（2）我单位具有良好的商业信誉和健全的财务会计制度；</w:t>
            </w:r>
          </w:p>
          <w:p w14:paraId="725BBFF1">
            <w:pPr>
              <w:spacing w:line="410" w:lineRule="exact"/>
              <w:ind w:firstLine="420" w:firstLineChars="200"/>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rPr>
              <w:t>（3）我单位具有履行合同所必需的设备和专业技术能力；</w:t>
            </w:r>
          </w:p>
          <w:p w14:paraId="6AD1C0B9">
            <w:pPr>
              <w:spacing w:line="410" w:lineRule="exact"/>
              <w:ind w:firstLine="420" w:firstLineChars="200"/>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rPr>
              <w:t>（4）我单位有依法缴纳税收和社会保障资金的良好记录；</w:t>
            </w:r>
          </w:p>
          <w:p w14:paraId="63B5FCF3">
            <w:pPr>
              <w:spacing w:line="410" w:lineRule="exact"/>
              <w:ind w:firstLine="420" w:firstLineChars="200"/>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rPr>
              <w:t>（5）我单位参加本次采购活动前三年内，在经营活动中没有重大违法记录。（重大违法记录，是指响应人因违法经营受到刑事处罚或者责令停产停业、吊销许可证或者执照、较大数额罚款等行政处罚。）；</w:t>
            </w:r>
          </w:p>
          <w:p w14:paraId="544E92DF">
            <w:pPr>
              <w:spacing w:line="410" w:lineRule="exact"/>
              <w:ind w:firstLine="420" w:firstLineChars="200"/>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rPr>
              <w:t>（6）我单位遵守法律、行政法规规定的其他条件。</w:t>
            </w:r>
          </w:p>
          <w:p w14:paraId="42D16144">
            <w:pPr>
              <w:spacing w:line="410" w:lineRule="exact"/>
              <w:ind w:firstLine="420" w:firstLineChars="200"/>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rPr>
              <w:t>注：较大数额罚款金额参照《中华人民共和国政府采购法实施条例》第十九条第一款规定的“较大数额罚款”认定为200万元（含）以上的罚款，法律、行政法规以及国务院有关部门明确规定相关领域“较大数额罚款”标准高于200万元的，从其规定，较大数额罚款金额认定参照《财政部关于《中华人民共和国政府采购法实施条例》第十九条第一款“较大数额罚款”具体适用问题的意见》财库【2022】3号文。</w:t>
            </w:r>
          </w:p>
        </w:tc>
      </w:tr>
      <w:tr w14:paraId="20B4EF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700" w:type="dxa"/>
            <w:vMerge w:val="continue"/>
            <w:tcBorders>
              <w:bottom w:val="single" w:color="auto" w:sz="4" w:space="0"/>
              <w:right w:val="single" w:color="auto" w:sz="4" w:space="0"/>
            </w:tcBorders>
            <w:vAlign w:val="center"/>
          </w:tcPr>
          <w:p w14:paraId="2CA9C39B">
            <w:pPr>
              <w:snapToGrid w:val="0"/>
              <w:spacing w:line="410" w:lineRule="exact"/>
              <w:jc w:val="center"/>
              <w:rPr>
                <w:rFonts w:ascii="宋体" w:hAnsi="宋体" w:cs="宋体"/>
                <w:bCs/>
                <w:color w:val="auto"/>
                <w:kern w:val="0"/>
                <w:sz w:val="21"/>
                <w:szCs w:val="21"/>
                <w:highlight w:val="none"/>
              </w:rPr>
            </w:pPr>
          </w:p>
        </w:tc>
        <w:tc>
          <w:tcPr>
            <w:tcW w:w="2249" w:type="dxa"/>
            <w:vMerge w:val="continue"/>
            <w:tcBorders>
              <w:left w:val="single" w:color="auto" w:sz="4" w:space="0"/>
              <w:bottom w:val="single" w:color="auto" w:sz="4" w:space="0"/>
              <w:right w:val="single" w:color="auto" w:sz="4" w:space="0"/>
            </w:tcBorders>
            <w:vAlign w:val="center"/>
          </w:tcPr>
          <w:p w14:paraId="1F31AD77">
            <w:pPr>
              <w:snapToGrid w:val="0"/>
              <w:spacing w:line="410" w:lineRule="exact"/>
              <w:jc w:val="center"/>
              <w:rPr>
                <w:rFonts w:ascii="宋体" w:hAnsi="宋体" w:cs="宋体"/>
                <w:bCs/>
                <w:color w:val="auto"/>
                <w:sz w:val="21"/>
                <w:szCs w:val="21"/>
                <w:highlight w:val="none"/>
              </w:rPr>
            </w:pPr>
          </w:p>
        </w:tc>
        <w:tc>
          <w:tcPr>
            <w:tcW w:w="6647" w:type="dxa"/>
            <w:tcBorders>
              <w:top w:val="single" w:color="auto" w:sz="4" w:space="0"/>
              <w:left w:val="single" w:color="auto" w:sz="4" w:space="0"/>
              <w:bottom w:val="single" w:color="auto" w:sz="4" w:space="0"/>
            </w:tcBorders>
            <w:vAlign w:val="center"/>
          </w:tcPr>
          <w:p w14:paraId="417D3B6C">
            <w:pPr>
              <w:spacing w:line="410" w:lineRule="exact"/>
              <w:rPr>
                <w:rFonts w:hint="eastAsia" w:eastAsiaTheme="majorEastAsia"/>
                <w:color w:val="auto"/>
                <w:highlight w:val="none"/>
                <w:lang w:val="en-US" w:eastAsia="zh-CN"/>
              </w:rPr>
            </w:pPr>
            <w:r>
              <w:rPr>
                <w:rFonts w:hint="eastAsia" w:asciiTheme="majorEastAsia" w:hAnsiTheme="majorEastAsia" w:eastAsiaTheme="majorEastAsia"/>
                <w:b/>
                <w:bCs/>
                <w:color w:val="auto"/>
                <w:sz w:val="21"/>
                <w:szCs w:val="21"/>
                <w:highlight w:val="none"/>
              </w:rPr>
              <w:t>*</w:t>
            </w:r>
            <w:r>
              <w:rPr>
                <w:rFonts w:asciiTheme="majorEastAsia" w:hAnsiTheme="majorEastAsia" w:eastAsiaTheme="majorEastAsia"/>
                <w:b/>
                <w:bCs/>
                <w:color w:val="auto"/>
                <w:sz w:val="21"/>
                <w:szCs w:val="21"/>
                <w:highlight w:val="none"/>
              </w:rPr>
              <w:t>5</w:t>
            </w:r>
            <w:r>
              <w:rPr>
                <w:rFonts w:hint="eastAsia" w:asciiTheme="majorEastAsia" w:hAnsiTheme="majorEastAsia" w:eastAsiaTheme="majorEastAsia"/>
                <w:b/>
                <w:bCs/>
                <w:color w:val="auto"/>
                <w:sz w:val="21"/>
                <w:szCs w:val="21"/>
                <w:highlight w:val="none"/>
              </w:rPr>
              <w:t>.2响应人应具备的特殊要求：</w:t>
            </w:r>
            <w:r>
              <w:rPr>
                <w:rFonts w:hint="eastAsia" w:asciiTheme="majorEastAsia" w:hAnsiTheme="majorEastAsia" w:eastAsiaTheme="majorEastAsia"/>
                <w:b/>
                <w:bCs/>
                <w:color w:val="auto"/>
                <w:sz w:val="21"/>
                <w:szCs w:val="21"/>
                <w:highlight w:val="none"/>
                <w:lang w:val="en-US" w:eastAsia="zh-CN"/>
              </w:rPr>
              <w:t>/</w:t>
            </w:r>
          </w:p>
        </w:tc>
      </w:tr>
      <w:tr w14:paraId="7C50F2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00" w:type="dxa"/>
            <w:tcBorders>
              <w:bottom w:val="single" w:color="auto" w:sz="4" w:space="0"/>
              <w:right w:val="single" w:color="auto" w:sz="4" w:space="0"/>
            </w:tcBorders>
            <w:vAlign w:val="center"/>
          </w:tcPr>
          <w:p w14:paraId="0491C55C">
            <w:pPr>
              <w:spacing w:line="410" w:lineRule="exact"/>
              <w:jc w:val="center"/>
              <w:rPr>
                <w:rFonts w:cs="宋体"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6</w:t>
            </w:r>
          </w:p>
        </w:tc>
        <w:tc>
          <w:tcPr>
            <w:tcW w:w="2249" w:type="dxa"/>
            <w:tcBorders>
              <w:left w:val="single" w:color="auto" w:sz="4" w:space="0"/>
              <w:bottom w:val="single" w:color="auto" w:sz="4" w:space="0"/>
              <w:right w:val="single" w:color="auto" w:sz="4" w:space="0"/>
            </w:tcBorders>
            <w:vAlign w:val="center"/>
          </w:tcPr>
          <w:p w14:paraId="5FF6B179">
            <w:pPr>
              <w:spacing w:line="410" w:lineRule="exact"/>
              <w:jc w:val="center"/>
              <w:rPr>
                <w:rFonts w:cs="宋体"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是否允许代理商</w:t>
            </w:r>
          </w:p>
          <w:p w14:paraId="4A481957">
            <w:pPr>
              <w:spacing w:line="410" w:lineRule="exact"/>
              <w:jc w:val="center"/>
              <w:rPr>
                <w:rFonts w:cs="宋体"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投标</w:t>
            </w:r>
          </w:p>
        </w:tc>
        <w:tc>
          <w:tcPr>
            <w:tcW w:w="6647" w:type="dxa"/>
            <w:tcBorders>
              <w:top w:val="single" w:color="auto" w:sz="4" w:space="0"/>
              <w:left w:val="single" w:color="auto" w:sz="4" w:space="0"/>
              <w:bottom w:val="single" w:color="auto" w:sz="4" w:space="0"/>
            </w:tcBorders>
            <w:vAlign w:val="center"/>
          </w:tcPr>
          <w:p w14:paraId="07D0F833">
            <w:pPr>
              <w:spacing w:line="410" w:lineRule="exact"/>
              <w:jc w:val="left"/>
              <w:rPr>
                <w:rFonts w:cs="宋体"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   否</w:t>
            </w:r>
          </w:p>
        </w:tc>
      </w:tr>
      <w:tr w14:paraId="0782D6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bottom w:val="single" w:color="auto" w:sz="4" w:space="0"/>
              <w:right w:val="single" w:color="auto" w:sz="4" w:space="0"/>
            </w:tcBorders>
            <w:vAlign w:val="center"/>
          </w:tcPr>
          <w:p w14:paraId="665E91D9">
            <w:pPr>
              <w:spacing w:line="410" w:lineRule="exact"/>
              <w:jc w:val="center"/>
              <w:rPr>
                <w:rFonts w:cs="宋体"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7</w:t>
            </w:r>
          </w:p>
        </w:tc>
        <w:tc>
          <w:tcPr>
            <w:tcW w:w="2249" w:type="dxa"/>
            <w:tcBorders>
              <w:left w:val="single" w:color="auto" w:sz="4" w:space="0"/>
              <w:bottom w:val="single" w:color="auto" w:sz="4" w:space="0"/>
              <w:right w:val="single" w:color="auto" w:sz="4" w:space="0"/>
            </w:tcBorders>
            <w:vAlign w:val="center"/>
          </w:tcPr>
          <w:p w14:paraId="5FAC5C4E">
            <w:pPr>
              <w:spacing w:line="410" w:lineRule="exact"/>
              <w:jc w:val="center"/>
              <w:rPr>
                <w:rFonts w:cs="宋体"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是否允许联合体</w:t>
            </w:r>
          </w:p>
          <w:p w14:paraId="5F60C175">
            <w:pPr>
              <w:spacing w:line="410" w:lineRule="exact"/>
              <w:jc w:val="center"/>
              <w:rPr>
                <w:rFonts w:cs="宋体"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投标</w:t>
            </w:r>
          </w:p>
        </w:tc>
        <w:tc>
          <w:tcPr>
            <w:tcW w:w="6647" w:type="dxa"/>
            <w:tcBorders>
              <w:top w:val="single" w:color="auto" w:sz="4" w:space="0"/>
              <w:left w:val="single" w:color="auto" w:sz="4" w:space="0"/>
              <w:bottom w:val="single" w:color="auto" w:sz="4" w:space="0"/>
            </w:tcBorders>
            <w:vAlign w:val="center"/>
          </w:tcPr>
          <w:p w14:paraId="65234089">
            <w:pPr>
              <w:spacing w:line="410" w:lineRule="exact"/>
              <w:jc w:val="left"/>
              <w:rPr>
                <w:rFonts w:cs="宋体"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 xml:space="preserve">■   否  </w:t>
            </w:r>
          </w:p>
        </w:tc>
      </w:tr>
      <w:tr w14:paraId="30E958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bottom w:val="single" w:color="auto" w:sz="4" w:space="0"/>
              <w:right w:val="single" w:color="auto" w:sz="4" w:space="0"/>
            </w:tcBorders>
            <w:vAlign w:val="center"/>
          </w:tcPr>
          <w:p w14:paraId="5DB85A98">
            <w:pPr>
              <w:spacing w:line="410" w:lineRule="exact"/>
              <w:jc w:val="center"/>
              <w:rPr>
                <w:rFonts w:cs="宋体"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8</w:t>
            </w:r>
          </w:p>
        </w:tc>
        <w:tc>
          <w:tcPr>
            <w:tcW w:w="2249" w:type="dxa"/>
            <w:tcBorders>
              <w:left w:val="single" w:color="auto" w:sz="4" w:space="0"/>
              <w:bottom w:val="single" w:color="auto" w:sz="4" w:space="0"/>
              <w:right w:val="single" w:color="auto" w:sz="4" w:space="0"/>
            </w:tcBorders>
            <w:vAlign w:val="center"/>
          </w:tcPr>
          <w:p w14:paraId="23F62569">
            <w:pPr>
              <w:spacing w:line="410" w:lineRule="exact"/>
              <w:jc w:val="center"/>
              <w:rPr>
                <w:rFonts w:cs="宋体"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是否允许进口产品</w:t>
            </w:r>
          </w:p>
          <w:p w14:paraId="7DCE80F7">
            <w:pPr>
              <w:spacing w:line="410" w:lineRule="exact"/>
              <w:jc w:val="center"/>
              <w:rPr>
                <w:rFonts w:cs="宋体"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投标</w:t>
            </w:r>
          </w:p>
        </w:tc>
        <w:tc>
          <w:tcPr>
            <w:tcW w:w="6647" w:type="dxa"/>
            <w:tcBorders>
              <w:top w:val="single" w:color="auto" w:sz="4" w:space="0"/>
              <w:left w:val="single" w:color="auto" w:sz="4" w:space="0"/>
              <w:bottom w:val="single" w:color="auto" w:sz="4" w:space="0"/>
            </w:tcBorders>
            <w:vAlign w:val="center"/>
          </w:tcPr>
          <w:p w14:paraId="2B497B0C">
            <w:pPr>
              <w:spacing w:line="410" w:lineRule="exact"/>
              <w:jc w:val="left"/>
              <w:rPr>
                <w:rFonts w:cs="宋体"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   否</w:t>
            </w:r>
          </w:p>
        </w:tc>
      </w:tr>
      <w:tr w14:paraId="5C72E3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bottom w:val="single" w:color="auto" w:sz="4" w:space="0"/>
              <w:right w:val="single" w:color="auto" w:sz="4" w:space="0"/>
            </w:tcBorders>
            <w:vAlign w:val="center"/>
          </w:tcPr>
          <w:p w14:paraId="3D048987">
            <w:pPr>
              <w:spacing w:line="410" w:lineRule="exact"/>
              <w:jc w:val="center"/>
              <w:rPr>
                <w:rFonts w:cs="宋体"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9</w:t>
            </w:r>
          </w:p>
        </w:tc>
        <w:tc>
          <w:tcPr>
            <w:tcW w:w="2249" w:type="dxa"/>
            <w:tcBorders>
              <w:left w:val="single" w:color="auto" w:sz="4" w:space="0"/>
              <w:bottom w:val="single" w:color="auto" w:sz="4" w:space="0"/>
              <w:right w:val="single" w:color="auto" w:sz="4" w:space="0"/>
            </w:tcBorders>
            <w:vAlign w:val="center"/>
          </w:tcPr>
          <w:p w14:paraId="5A04ED5F">
            <w:pPr>
              <w:spacing w:line="41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是否组织现场考察</w:t>
            </w:r>
          </w:p>
          <w:p w14:paraId="0617C089">
            <w:pPr>
              <w:spacing w:line="410" w:lineRule="exact"/>
              <w:jc w:val="center"/>
              <w:rPr>
                <w:rFonts w:cs="宋体"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（标前答疑会）</w:t>
            </w:r>
          </w:p>
        </w:tc>
        <w:tc>
          <w:tcPr>
            <w:tcW w:w="6647" w:type="dxa"/>
            <w:tcBorders>
              <w:top w:val="single" w:color="auto" w:sz="4" w:space="0"/>
              <w:left w:val="single" w:color="auto" w:sz="4" w:space="0"/>
              <w:bottom w:val="single" w:color="auto" w:sz="4" w:space="0"/>
            </w:tcBorders>
            <w:vAlign w:val="center"/>
          </w:tcPr>
          <w:p w14:paraId="1CDA33D8">
            <w:pPr>
              <w:spacing w:line="410" w:lineRule="exact"/>
              <w:jc w:val="left"/>
              <w:rPr>
                <w:rFonts w:cs="宋体"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   否</w:t>
            </w:r>
          </w:p>
        </w:tc>
      </w:tr>
      <w:tr w14:paraId="677E68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7" w:hRule="atLeast"/>
          <w:jc w:val="center"/>
        </w:trPr>
        <w:tc>
          <w:tcPr>
            <w:tcW w:w="700" w:type="dxa"/>
            <w:tcBorders>
              <w:bottom w:val="single" w:color="auto" w:sz="4" w:space="0"/>
              <w:right w:val="single" w:color="auto" w:sz="4" w:space="0"/>
            </w:tcBorders>
            <w:vAlign w:val="center"/>
          </w:tcPr>
          <w:p w14:paraId="30D6C013">
            <w:pPr>
              <w:spacing w:line="420" w:lineRule="exact"/>
              <w:jc w:val="center"/>
              <w:rPr>
                <w:rFonts w:cs="宋体"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10</w:t>
            </w:r>
          </w:p>
        </w:tc>
        <w:tc>
          <w:tcPr>
            <w:tcW w:w="2249" w:type="dxa"/>
            <w:tcBorders>
              <w:left w:val="single" w:color="auto" w:sz="4" w:space="0"/>
              <w:bottom w:val="single" w:color="auto" w:sz="4" w:space="0"/>
              <w:right w:val="single" w:color="auto" w:sz="4" w:space="0"/>
            </w:tcBorders>
            <w:vAlign w:val="center"/>
          </w:tcPr>
          <w:p w14:paraId="371A76E9">
            <w:pPr>
              <w:spacing w:line="420" w:lineRule="exact"/>
              <w:jc w:val="center"/>
              <w:rPr>
                <w:rFonts w:cs="宋体"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构成谈判文件的其他材料</w:t>
            </w:r>
          </w:p>
        </w:tc>
        <w:tc>
          <w:tcPr>
            <w:tcW w:w="6647" w:type="dxa"/>
            <w:tcBorders>
              <w:top w:val="single" w:color="auto" w:sz="4" w:space="0"/>
              <w:left w:val="single" w:color="auto" w:sz="4" w:space="0"/>
              <w:bottom w:val="single" w:color="auto" w:sz="4" w:space="0"/>
            </w:tcBorders>
            <w:vAlign w:val="center"/>
          </w:tcPr>
          <w:p w14:paraId="57CD445F">
            <w:pPr>
              <w:pStyle w:val="24"/>
              <w:widowControl w:val="0"/>
              <w:adjustRightInd w:val="0"/>
              <w:snapToGrid w:val="0"/>
              <w:spacing w:before="0" w:beforeAutospacing="0" w:after="0" w:afterAutospacing="0" w:line="420" w:lineRule="exact"/>
              <w:jc w:val="both"/>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谈判文件</w:t>
            </w:r>
            <w:r>
              <w:rPr>
                <w:rFonts w:cs="宋体" w:asciiTheme="majorEastAsia" w:hAnsiTheme="majorEastAsia" w:eastAsiaTheme="majorEastAsia"/>
                <w:color w:val="auto"/>
                <w:sz w:val="21"/>
                <w:szCs w:val="21"/>
                <w:highlight w:val="none"/>
              </w:rPr>
              <w:t>答疑纪要、澄清、更正、说明等</w:t>
            </w:r>
          </w:p>
        </w:tc>
      </w:tr>
      <w:tr w14:paraId="14DA89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00" w:type="dxa"/>
            <w:tcBorders>
              <w:bottom w:val="single" w:color="auto" w:sz="4" w:space="0"/>
              <w:right w:val="single" w:color="auto" w:sz="4" w:space="0"/>
            </w:tcBorders>
            <w:vAlign w:val="center"/>
          </w:tcPr>
          <w:p w14:paraId="5AF21098">
            <w:pPr>
              <w:spacing w:line="420" w:lineRule="exact"/>
              <w:jc w:val="center"/>
              <w:rPr>
                <w:rFonts w:eastAsiaTheme="minorEastAsia"/>
                <w:color w:val="auto"/>
                <w:sz w:val="21"/>
                <w:szCs w:val="21"/>
                <w:highlight w:val="none"/>
              </w:rPr>
            </w:pPr>
            <w:r>
              <w:rPr>
                <w:rFonts w:hint="eastAsia" w:cs="宋体" w:asciiTheme="majorEastAsia" w:hAnsiTheme="majorEastAsia" w:eastAsiaTheme="majorEastAsia"/>
                <w:color w:val="auto"/>
                <w:sz w:val="21"/>
                <w:szCs w:val="21"/>
                <w:highlight w:val="none"/>
              </w:rPr>
              <w:t>11</w:t>
            </w:r>
          </w:p>
        </w:tc>
        <w:tc>
          <w:tcPr>
            <w:tcW w:w="2249" w:type="dxa"/>
            <w:tcBorders>
              <w:left w:val="single" w:color="auto" w:sz="4" w:space="0"/>
              <w:bottom w:val="single" w:color="auto" w:sz="4" w:space="0"/>
              <w:right w:val="single" w:color="auto" w:sz="4" w:space="0"/>
            </w:tcBorders>
            <w:vAlign w:val="center"/>
          </w:tcPr>
          <w:p w14:paraId="256B0639">
            <w:pPr>
              <w:spacing w:line="420" w:lineRule="exact"/>
              <w:jc w:val="center"/>
              <w:rPr>
                <w:rFonts w:cs="宋体"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响应人要求澄清谈判文件的截止时间</w:t>
            </w:r>
          </w:p>
        </w:tc>
        <w:tc>
          <w:tcPr>
            <w:tcW w:w="6647" w:type="dxa"/>
            <w:tcBorders>
              <w:top w:val="single" w:color="auto" w:sz="4" w:space="0"/>
              <w:left w:val="single" w:color="auto" w:sz="4" w:space="0"/>
              <w:bottom w:val="single" w:color="auto" w:sz="4" w:space="0"/>
            </w:tcBorders>
            <w:vAlign w:val="center"/>
          </w:tcPr>
          <w:p w14:paraId="711C72D5">
            <w:pPr>
              <w:spacing w:line="420" w:lineRule="exact"/>
              <w:rPr>
                <w:rFonts w:cs="宋体"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响应人如有需要，可自行考察现场，费用自理。</w:t>
            </w:r>
          </w:p>
          <w:p w14:paraId="069C8CB0">
            <w:pPr>
              <w:spacing w:line="420" w:lineRule="exact"/>
              <w:rPr>
                <w:rFonts w:cs="宋体"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（一）该项目不组织集中答疑，供应商如果有疑问，请将疑问于</w:t>
            </w:r>
            <w:r>
              <w:rPr>
                <w:rFonts w:hint="eastAsia" w:cs="宋体" w:asciiTheme="majorEastAsia" w:hAnsiTheme="majorEastAsia" w:eastAsiaTheme="majorEastAsia"/>
                <w:color w:val="auto"/>
                <w:sz w:val="21"/>
                <w:szCs w:val="21"/>
                <w:highlight w:val="yellow"/>
                <w:lang w:eastAsia="zh-CN"/>
              </w:rPr>
              <w:t>2024</w:t>
            </w:r>
            <w:r>
              <w:rPr>
                <w:rFonts w:hint="eastAsia" w:cs="宋体" w:asciiTheme="majorEastAsia" w:hAnsiTheme="majorEastAsia" w:eastAsiaTheme="majorEastAsia"/>
                <w:color w:val="auto"/>
                <w:sz w:val="21"/>
                <w:szCs w:val="21"/>
                <w:highlight w:val="yellow"/>
              </w:rPr>
              <w:t>年</w:t>
            </w:r>
            <w:r>
              <w:rPr>
                <w:rFonts w:hint="eastAsia" w:cs="宋体" w:asciiTheme="majorEastAsia" w:hAnsiTheme="majorEastAsia" w:eastAsiaTheme="majorEastAsia"/>
                <w:color w:val="auto"/>
                <w:sz w:val="21"/>
                <w:szCs w:val="21"/>
                <w:highlight w:val="yellow"/>
                <w:lang w:val="en-US" w:eastAsia="zh-CN"/>
              </w:rPr>
              <w:t>10</w:t>
            </w:r>
            <w:r>
              <w:rPr>
                <w:rFonts w:hint="eastAsia" w:cs="宋体" w:asciiTheme="majorEastAsia" w:hAnsiTheme="majorEastAsia" w:eastAsiaTheme="majorEastAsia"/>
                <w:color w:val="auto"/>
                <w:sz w:val="21"/>
                <w:szCs w:val="21"/>
                <w:highlight w:val="yellow"/>
              </w:rPr>
              <w:t>月</w:t>
            </w:r>
            <w:r>
              <w:rPr>
                <w:rFonts w:hint="eastAsia" w:cs="宋体" w:asciiTheme="majorEastAsia" w:hAnsiTheme="majorEastAsia" w:eastAsiaTheme="majorEastAsia"/>
                <w:color w:val="auto"/>
                <w:sz w:val="21"/>
                <w:szCs w:val="21"/>
                <w:highlight w:val="yellow"/>
                <w:lang w:val="en-US" w:eastAsia="zh-CN"/>
              </w:rPr>
              <w:t>30</w:t>
            </w:r>
            <w:r>
              <w:rPr>
                <w:rFonts w:hint="eastAsia" w:cs="宋体" w:asciiTheme="majorEastAsia" w:hAnsiTheme="majorEastAsia" w:eastAsiaTheme="majorEastAsia"/>
                <w:color w:val="auto"/>
                <w:sz w:val="21"/>
                <w:szCs w:val="21"/>
                <w:highlight w:val="yellow"/>
              </w:rPr>
              <w:t>日上午</w:t>
            </w:r>
            <w:r>
              <w:rPr>
                <w:rFonts w:hint="eastAsia" w:cs="宋体" w:asciiTheme="majorEastAsia" w:hAnsiTheme="majorEastAsia" w:eastAsiaTheme="majorEastAsia"/>
                <w:color w:val="auto"/>
                <w:sz w:val="21"/>
                <w:szCs w:val="21"/>
                <w:highlight w:val="yellow"/>
              </w:rPr>
              <w:t>11：00时</w:t>
            </w:r>
            <w:r>
              <w:rPr>
                <w:rFonts w:hint="eastAsia" w:cs="宋体" w:asciiTheme="majorEastAsia" w:hAnsiTheme="majorEastAsia" w:eastAsiaTheme="majorEastAsia"/>
                <w:color w:val="auto"/>
                <w:sz w:val="21"/>
                <w:szCs w:val="21"/>
                <w:highlight w:val="none"/>
              </w:rPr>
              <w:t>前，各供应商将疑问以书面形式并加盖供应商公章，送至</w:t>
            </w:r>
            <w:r>
              <w:rPr>
                <w:rFonts w:hint="eastAsia" w:cs="宋体" w:asciiTheme="majorEastAsia" w:hAnsiTheme="majorEastAsia" w:eastAsiaTheme="majorEastAsia"/>
                <w:color w:val="auto"/>
                <w:sz w:val="21"/>
                <w:szCs w:val="21"/>
                <w:highlight w:val="none"/>
                <w:lang w:eastAsia="zh-CN"/>
              </w:rPr>
              <w:t>江苏佳宸全过程工程咨询有限公司</w:t>
            </w:r>
            <w:r>
              <w:rPr>
                <w:rFonts w:hint="eastAsia" w:cs="宋体" w:asciiTheme="majorEastAsia" w:hAnsiTheme="majorEastAsia" w:eastAsiaTheme="majorEastAsia"/>
                <w:color w:val="auto"/>
                <w:sz w:val="21"/>
                <w:szCs w:val="21"/>
                <w:highlight w:val="none"/>
              </w:rPr>
              <w:t>（常州市金坛区</w:t>
            </w:r>
            <w:r>
              <w:rPr>
                <w:rFonts w:hint="eastAsia" w:cs="宋体" w:asciiTheme="majorEastAsia" w:hAnsiTheme="majorEastAsia" w:eastAsiaTheme="majorEastAsia"/>
                <w:color w:val="auto"/>
                <w:sz w:val="21"/>
                <w:szCs w:val="21"/>
                <w:highlight w:val="none"/>
                <w:lang w:val="en-US" w:eastAsia="zh-CN"/>
              </w:rPr>
              <w:t>中景商务中心A座1909室</w:t>
            </w:r>
            <w:r>
              <w:rPr>
                <w:rFonts w:hint="eastAsia" w:cs="宋体" w:asciiTheme="majorEastAsia" w:hAnsiTheme="majorEastAsia" w:eastAsiaTheme="majorEastAsia"/>
                <w:color w:val="auto"/>
                <w:sz w:val="21"/>
                <w:szCs w:val="21"/>
                <w:highlight w:val="none"/>
              </w:rPr>
              <w:t>）或将疑问打印盖章并扫描发送至采购代理单位指定邮箱</w:t>
            </w:r>
            <w:r>
              <w:rPr>
                <w:rFonts w:hint="eastAsia" w:cs="宋体" w:asciiTheme="majorEastAsia" w:hAnsiTheme="majorEastAsia" w:eastAsiaTheme="majorEastAsia"/>
                <w:color w:val="auto"/>
                <w:sz w:val="21"/>
                <w:szCs w:val="21"/>
                <w:highlight w:val="none"/>
                <w:lang w:val="en-US" w:eastAsia="zh-CN"/>
              </w:rPr>
              <w:t>1209192089</w:t>
            </w:r>
            <w:r>
              <w:rPr>
                <w:rFonts w:hint="eastAsia" w:cs="宋体" w:asciiTheme="majorEastAsia" w:hAnsiTheme="majorEastAsia" w:eastAsiaTheme="majorEastAsia"/>
                <w:color w:val="auto"/>
                <w:sz w:val="21"/>
                <w:szCs w:val="21"/>
                <w:highlight w:val="none"/>
              </w:rPr>
              <w:t>@qq.com及电话确认</w:t>
            </w:r>
            <w:r>
              <w:rPr>
                <w:rFonts w:hint="eastAsia" w:cs="宋体" w:asciiTheme="majorEastAsia" w:hAnsiTheme="majorEastAsia" w:eastAsiaTheme="majorEastAsia"/>
                <w:color w:val="auto"/>
                <w:sz w:val="21"/>
                <w:szCs w:val="21"/>
                <w:highlight w:val="none"/>
                <w:lang w:val="en-US" w:eastAsia="zh-CN"/>
              </w:rPr>
              <w:t>0519-82828199</w:t>
            </w:r>
            <w:r>
              <w:rPr>
                <w:rFonts w:hint="eastAsia" w:cs="宋体" w:asciiTheme="majorEastAsia" w:hAnsiTheme="majorEastAsia" w:eastAsiaTheme="majorEastAsia"/>
                <w:color w:val="auto"/>
                <w:sz w:val="21"/>
                <w:szCs w:val="21"/>
                <w:highlight w:val="none"/>
              </w:rPr>
              <w:t>，逾期不予受理。</w:t>
            </w:r>
          </w:p>
          <w:p w14:paraId="220802F2">
            <w:pPr>
              <w:spacing w:line="420" w:lineRule="exact"/>
              <w:rPr>
                <w:rFonts w:cs="宋体"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（二）答疑回复时间：</w:t>
            </w:r>
            <w:r>
              <w:rPr>
                <w:rFonts w:hint="eastAsia" w:cs="宋体" w:asciiTheme="majorEastAsia" w:hAnsiTheme="majorEastAsia" w:eastAsiaTheme="majorEastAsia"/>
                <w:color w:val="auto"/>
                <w:sz w:val="21"/>
                <w:szCs w:val="21"/>
                <w:highlight w:val="yellow"/>
                <w:lang w:eastAsia="zh-CN"/>
              </w:rPr>
              <w:t>2024</w:t>
            </w:r>
            <w:r>
              <w:rPr>
                <w:rFonts w:hint="eastAsia" w:cs="宋体" w:asciiTheme="majorEastAsia" w:hAnsiTheme="majorEastAsia" w:eastAsiaTheme="majorEastAsia"/>
                <w:color w:val="auto"/>
                <w:sz w:val="21"/>
                <w:szCs w:val="21"/>
                <w:highlight w:val="yellow"/>
              </w:rPr>
              <w:t>年</w:t>
            </w:r>
            <w:r>
              <w:rPr>
                <w:rFonts w:hint="eastAsia" w:cs="宋体" w:asciiTheme="majorEastAsia" w:hAnsiTheme="majorEastAsia" w:eastAsiaTheme="majorEastAsia"/>
                <w:color w:val="auto"/>
                <w:sz w:val="21"/>
                <w:szCs w:val="21"/>
                <w:highlight w:val="yellow"/>
                <w:lang w:val="en-US" w:eastAsia="zh-CN"/>
              </w:rPr>
              <w:t>10</w:t>
            </w:r>
            <w:r>
              <w:rPr>
                <w:rFonts w:hint="eastAsia" w:cs="宋体" w:asciiTheme="majorEastAsia" w:hAnsiTheme="majorEastAsia" w:eastAsiaTheme="majorEastAsia"/>
                <w:color w:val="auto"/>
                <w:sz w:val="21"/>
                <w:szCs w:val="21"/>
                <w:highlight w:val="yellow"/>
              </w:rPr>
              <w:t>月</w:t>
            </w:r>
            <w:r>
              <w:rPr>
                <w:rFonts w:hint="eastAsia" w:cs="宋体" w:asciiTheme="majorEastAsia" w:hAnsiTheme="majorEastAsia" w:eastAsiaTheme="majorEastAsia"/>
                <w:color w:val="auto"/>
                <w:sz w:val="21"/>
                <w:szCs w:val="21"/>
                <w:highlight w:val="yellow"/>
                <w:lang w:val="en-US" w:eastAsia="zh-CN"/>
              </w:rPr>
              <w:t>30</w:t>
            </w:r>
            <w:r>
              <w:rPr>
                <w:rFonts w:hint="eastAsia" w:cs="宋体" w:asciiTheme="majorEastAsia" w:hAnsiTheme="majorEastAsia" w:eastAsiaTheme="majorEastAsia"/>
                <w:color w:val="auto"/>
                <w:sz w:val="21"/>
                <w:szCs w:val="21"/>
                <w:highlight w:val="yellow"/>
              </w:rPr>
              <w:t>日下午17：00前</w:t>
            </w:r>
            <w:r>
              <w:rPr>
                <w:rFonts w:hint="eastAsia" w:cs="宋体" w:asciiTheme="majorEastAsia" w:hAnsiTheme="majorEastAsia" w:eastAsiaTheme="majorEastAsia"/>
                <w:color w:val="auto"/>
                <w:sz w:val="21"/>
                <w:szCs w:val="21"/>
                <w:highlight w:val="none"/>
              </w:rPr>
              <w:t>，由采购代理单位以电子邮件形式统一回复。供应商由于对谈判文件的任何推论和误解以及采购人对有关问题的口头解释所造成的后果，均由供应商自负。采购人有权对已发出的谈判文件进行必要的澄清或修改，并通知所有供应商。采购人可视具体情况，延长响应截止时间和开标时间，并将此变更通知所有谈判文件收受人。</w:t>
            </w:r>
          </w:p>
        </w:tc>
      </w:tr>
      <w:tr w14:paraId="50EC10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bottom w:val="single" w:color="auto" w:sz="4" w:space="0"/>
              <w:right w:val="single" w:color="auto" w:sz="4" w:space="0"/>
            </w:tcBorders>
            <w:vAlign w:val="center"/>
          </w:tcPr>
          <w:p w14:paraId="05277AF1">
            <w:pPr>
              <w:spacing w:line="420" w:lineRule="exact"/>
              <w:jc w:val="center"/>
              <w:rPr>
                <w:color w:val="auto"/>
                <w:sz w:val="21"/>
                <w:szCs w:val="21"/>
                <w:highlight w:val="none"/>
              </w:rPr>
            </w:pPr>
            <w:r>
              <w:rPr>
                <w:rFonts w:hint="eastAsia" w:cs="宋体" w:asciiTheme="majorEastAsia" w:hAnsiTheme="majorEastAsia" w:eastAsiaTheme="majorEastAsia"/>
                <w:color w:val="auto"/>
                <w:sz w:val="21"/>
                <w:szCs w:val="21"/>
                <w:highlight w:val="none"/>
              </w:rPr>
              <w:t>12</w:t>
            </w:r>
          </w:p>
        </w:tc>
        <w:tc>
          <w:tcPr>
            <w:tcW w:w="2249" w:type="dxa"/>
            <w:tcBorders>
              <w:left w:val="single" w:color="auto" w:sz="4" w:space="0"/>
              <w:bottom w:val="single" w:color="auto" w:sz="4" w:space="0"/>
              <w:right w:val="single" w:color="auto" w:sz="4" w:space="0"/>
            </w:tcBorders>
            <w:vAlign w:val="center"/>
          </w:tcPr>
          <w:p w14:paraId="40CDD45B">
            <w:pPr>
              <w:spacing w:line="420" w:lineRule="exact"/>
              <w:jc w:val="center"/>
              <w:rPr>
                <w:rFonts w:cs="宋体"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采购人对谈判文件澄清、修改时间</w:t>
            </w:r>
          </w:p>
        </w:tc>
        <w:tc>
          <w:tcPr>
            <w:tcW w:w="6647" w:type="dxa"/>
            <w:tcBorders>
              <w:top w:val="single" w:color="auto" w:sz="4" w:space="0"/>
              <w:left w:val="single" w:color="auto" w:sz="4" w:space="0"/>
              <w:bottom w:val="single" w:color="auto" w:sz="4" w:space="0"/>
            </w:tcBorders>
            <w:vAlign w:val="center"/>
          </w:tcPr>
          <w:p w14:paraId="16C90088">
            <w:pPr>
              <w:pStyle w:val="24"/>
              <w:widowControl w:val="0"/>
              <w:adjustRightInd w:val="0"/>
              <w:snapToGrid w:val="0"/>
              <w:spacing w:before="0" w:beforeAutospacing="0" w:after="0" w:afterAutospacing="0" w:line="420" w:lineRule="exact"/>
              <w:jc w:val="both"/>
              <w:rPr>
                <w:rFonts w:cs="宋体"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yellow"/>
                <w:lang w:eastAsia="zh-CN"/>
              </w:rPr>
              <w:t>2024</w:t>
            </w:r>
            <w:r>
              <w:rPr>
                <w:rFonts w:hint="eastAsia" w:cs="宋体" w:asciiTheme="majorEastAsia" w:hAnsiTheme="majorEastAsia" w:eastAsiaTheme="majorEastAsia"/>
                <w:color w:val="auto"/>
                <w:sz w:val="21"/>
                <w:szCs w:val="21"/>
                <w:highlight w:val="yellow"/>
              </w:rPr>
              <w:t>年</w:t>
            </w:r>
            <w:r>
              <w:rPr>
                <w:rFonts w:hint="eastAsia" w:cs="宋体" w:asciiTheme="majorEastAsia" w:hAnsiTheme="majorEastAsia" w:eastAsiaTheme="majorEastAsia"/>
                <w:color w:val="auto"/>
                <w:sz w:val="21"/>
                <w:szCs w:val="21"/>
                <w:highlight w:val="yellow"/>
                <w:lang w:val="en-US" w:eastAsia="zh-CN"/>
              </w:rPr>
              <w:t>10</w:t>
            </w:r>
            <w:r>
              <w:rPr>
                <w:rFonts w:hint="eastAsia" w:cs="宋体" w:asciiTheme="majorEastAsia" w:hAnsiTheme="majorEastAsia" w:eastAsiaTheme="majorEastAsia"/>
                <w:color w:val="auto"/>
                <w:sz w:val="21"/>
                <w:szCs w:val="21"/>
                <w:highlight w:val="yellow"/>
              </w:rPr>
              <w:t>月</w:t>
            </w:r>
            <w:r>
              <w:rPr>
                <w:rFonts w:hint="eastAsia" w:cs="宋体" w:asciiTheme="majorEastAsia" w:hAnsiTheme="majorEastAsia" w:eastAsiaTheme="majorEastAsia"/>
                <w:color w:val="auto"/>
                <w:sz w:val="21"/>
                <w:szCs w:val="21"/>
                <w:highlight w:val="yellow"/>
                <w:lang w:val="en-US" w:eastAsia="zh-CN"/>
              </w:rPr>
              <w:t xml:space="preserve"> 25</w:t>
            </w:r>
            <w:r>
              <w:rPr>
                <w:rFonts w:hint="eastAsia" w:cs="宋体" w:asciiTheme="majorEastAsia" w:hAnsiTheme="majorEastAsia" w:eastAsiaTheme="majorEastAsia"/>
                <w:color w:val="auto"/>
                <w:sz w:val="21"/>
                <w:szCs w:val="21"/>
                <w:highlight w:val="yellow"/>
              </w:rPr>
              <w:t>日</w:t>
            </w:r>
            <w:r>
              <w:rPr>
                <w:rFonts w:cs="宋体" w:asciiTheme="majorEastAsia" w:hAnsiTheme="majorEastAsia" w:eastAsiaTheme="majorEastAsia"/>
                <w:color w:val="auto"/>
                <w:sz w:val="21"/>
                <w:szCs w:val="21"/>
                <w:highlight w:val="yellow"/>
              </w:rPr>
              <w:t>至</w:t>
            </w:r>
            <w:r>
              <w:rPr>
                <w:rFonts w:cs="宋体" w:asciiTheme="majorEastAsia" w:hAnsiTheme="majorEastAsia" w:eastAsiaTheme="majorEastAsia"/>
                <w:color w:val="auto"/>
                <w:sz w:val="21"/>
                <w:szCs w:val="21"/>
                <w:highlight w:val="none"/>
              </w:rPr>
              <w:t>响应文件接收截止之日</w:t>
            </w:r>
            <w:r>
              <w:rPr>
                <w:rFonts w:hint="eastAsia" w:cs="宋体" w:asciiTheme="majorEastAsia" w:hAnsiTheme="majorEastAsia" w:eastAsiaTheme="majorEastAsia"/>
                <w:color w:val="auto"/>
                <w:sz w:val="21"/>
                <w:szCs w:val="21"/>
                <w:highlight w:val="none"/>
              </w:rPr>
              <w:t>3个工作日</w:t>
            </w:r>
            <w:r>
              <w:rPr>
                <w:rFonts w:cs="宋体" w:asciiTheme="majorEastAsia" w:hAnsiTheme="majorEastAsia" w:eastAsiaTheme="majorEastAsia"/>
                <w:color w:val="auto"/>
                <w:sz w:val="21"/>
                <w:szCs w:val="21"/>
                <w:highlight w:val="none"/>
              </w:rPr>
              <w:t>前</w:t>
            </w:r>
          </w:p>
        </w:tc>
      </w:tr>
      <w:tr w14:paraId="0818A7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9" w:hRule="atLeast"/>
          <w:jc w:val="center"/>
        </w:trPr>
        <w:tc>
          <w:tcPr>
            <w:tcW w:w="700" w:type="dxa"/>
            <w:tcBorders>
              <w:bottom w:val="single" w:color="auto" w:sz="4" w:space="0"/>
              <w:right w:val="single" w:color="auto" w:sz="4" w:space="0"/>
            </w:tcBorders>
            <w:vAlign w:val="center"/>
          </w:tcPr>
          <w:p w14:paraId="309BCE12">
            <w:pPr>
              <w:spacing w:line="420" w:lineRule="exact"/>
              <w:jc w:val="center"/>
              <w:rPr>
                <w:color w:val="auto"/>
                <w:sz w:val="21"/>
                <w:szCs w:val="21"/>
                <w:highlight w:val="none"/>
              </w:rPr>
            </w:pPr>
            <w:r>
              <w:rPr>
                <w:rFonts w:hint="eastAsia" w:cs="宋体" w:asciiTheme="majorEastAsia" w:hAnsiTheme="majorEastAsia" w:eastAsiaTheme="majorEastAsia"/>
                <w:color w:val="auto"/>
                <w:sz w:val="21"/>
                <w:szCs w:val="21"/>
                <w:highlight w:val="none"/>
              </w:rPr>
              <w:t>13</w:t>
            </w:r>
          </w:p>
        </w:tc>
        <w:tc>
          <w:tcPr>
            <w:tcW w:w="2249" w:type="dxa"/>
            <w:tcBorders>
              <w:left w:val="single" w:color="auto" w:sz="4" w:space="0"/>
              <w:bottom w:val="single" w:color="auto" w:sz="4" w:space="0"/>
              <w:right w:val="single" w:color="auto" w:sz="4" w:space="0"/>
            </w:tcBorders>
            <w:vAlign w:val="center"/>
          </w:tcPr>
          <w:p w14:paraId="309D6429">
            <w:pPr>
              <w:spacing w:line="420" w:lineRule="exact"/>
              <w:jc w:val="center"/>
              <w:rPr>
                <w:rFonts w:cs="宋体"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采购人对谈判文件澄清方式</w:t>
            </w:r>
          </w:p>
        </w:tc>
        <w:tc>
          <w:tcPr>
            <w:tcW w:w="6647" w:type="dxa"/>
            <w:tcBorders>
              <w:top w:val="single" w:color="auto" w:sz="4" w:space="0"/>
              <w:left w:val="single" w:color="auto" w:sz="4" w:space="0"/>
              <w:bottom w:val="single" w:color="auto" w:sz="4" w:space="0"/>
            </w:tcBorders>
            <w:vAlign w:val="center"/>
          </w:tcPr>
          <w:p w14:paraId="4A2AD404">
            <w:pPr>
              <w:spacing w:line="420" w:lineRule="exact"/>
              <w:jc w:val="left"/>
              <w:rPr>
                <w:rFonts w:cs="宋体"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在</w:t>
            </w:r>
            <w:r>
              <w:rPr>
                <w:rFonts w:hint="eastAsia" w:cs="宋体" w:asciiTheme="majorEastAsia" w:hAnsiTheme="majorEastAsia" w:eastAsiaTheme="majorEastAsia"/>
                <w:b/>
                <w:bCs/>
                <w:color w:val="auto"/>
                <w:sz w:val="21"/>
                <w:szCs w:val="21"/>
                <w:highlight w:val="none"/>
              </w:rPr>
              <w:t>金坛教育服务网</w:t>
            </w:r>
            <w:r>
              <w:rPr>
                <w:rFonts w:hint="eastAsia" w:cs="宋体" w:asciiTheme="majorEastAsia" w:hAnsiTheme="majorEastAsia" w:eastAsiaTheme="majorEastAsia"/>
                <w:color w:val="auto"/>
                <w:sz w:val="21"/>
                <w:szCs w:val="21"/>
                <w:highlight w:val="none"/>
              </w:rPr>
              <w:t>等媒体上以澄清公告的形式公告。</w:t>
            </w:r>
          </w:p>
        </w:tc>
      </w:tr>
      <w:tr w14:paraId="246160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40" w:hRule="atLeast"/>
          <w:jc w:val="center"/>
        </w:trPr>
        <w:tc>
          <w:tcPr>
            <w:tcW w:w="700" w:type="dxa"/>
            <w:tcBorders>
              <w:bottom w:val="single" w:color="auto" w:sz="4" w:space="0"/>
              <w:right w:val="single" w:color="auto" w:sz="4" w:space="0"/>
            </w:tcBorders>
            <w:vAlign w:val="center"/>
          </w:tcPr>
          <w:p w14:paraId="59EE99AE">
            <w:pPr>
              <w:spacing w:line="420" w:lineRule="exact"/>
              <w:jc w:val="center"/>
              <w:rPr>
                <w:color w:val="auto"/>
                <w:sz w:val="21"/>
                <w:szCs w:val="21"/>
                <w:highlight w:val="none"/>
              </w:rPr>
            </w:pPr>
            <w:r>
              <w:rPr>
                <w:rFonts w:hint="eastAsia" w:cs="宋体" w:asciiTheme="majorEastAsia" w:hAnsiTheme="majorEastAsia" w:eastAsiaTheme="majorEastAsia"/>
                <w:color w:val="auto"/>
                <w:sz w:val="21"/>
                <w:szCs w:val="21"/>
                <w:highlight w:val="none"/>
              </w:rPr>
              <w:t>14</w:t>
            </w:r>
          </w:p>
        </w:tc>
        <w:tc>
          <w:tcPr>
            <w:tcW w:w="2249" w:type="dxa"/>
            <w:tcBorders>
              <w:left w:val="single" w:color="auto" w:sz="4" w:space="0"/>
              <w:bottom w:val="single" w:color="auto" w:sz="4" w:space="0"/>
              <w:right w:val="single" w:color="auto" w:sz="4" w:space="0"/>
            </w:tcBorders>
            <w:vAlign w:val="center"/>
          </w:tcPr>
          <w:p w14:paraId="17AA13C0">
            <w:pPr>
              <w:spacing w:line="420" w:lineRule="exact"/>
              <w:jc w:val="center"/>
              <w:rPr>
                <w:rFonts w:cs="宋体"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响应文件递交方式</w:t>
            </w:r>
          </w:p>
        </w:tc>
        <w:tc>
          <w:tcPr>
            <w:tcW w:w="6647" w:type="dxa"/>
            <w:tcBorders>
              <w:top w:val="single" w:color="auto" w:sz="4" w:space="0"/>
              <w:left w:val="single" w:color="auto" w:sz="4" w:space="0"/>
              <w:bottom w:val="single" w:color="auto" w:sz="4" w:space="0"/>
            </w:tcBorders>
            <w:vAlign w:val="center"/>
          </w:tcPr>
          <w:p w14:paraId="7D2BBFF2">
            <w:pPr>
              <w:pStyle w:val="24"/>
              <w:widowControl w:val="0"/>
              <w:snapToGrid w:val="0"/>
              <w:spacing w:before="0" w:beforeAutospacing="0" w:after="0" w:afterAutospacing="0" w:line="420" w:lineRule="exact"/>
              <w:jc w:val="both"/>
              <w:rPr>
                <w:rFonts w:cs="宋体" w:asciiTheme="majorEastAsia" w:hAnsiTheme="majorEastAsia" w:eastAsiaTheme="majorEastAsia"/>
                <w:color w:val="auto"/>
                <w:sz w:val="21"/>
                <w:szCs w:val="21"/>
                <w:highlight w:val="none"/>
              </w:rPr>
            </w:pPr>
            <w:r>
              <w:rPr>
                <w:rFonts w:cs="宋体" w:asciiTheme="majorEastAsia" w:hAnsiTheme="majorEastAsia" w:eastAsiaTheme="majorEastAsia"/>
                <w:b/>
                <w:color w:val="auto"/>
                <w:kern w:val="20"/>
                <w:sz w:val="21"/>
                <w:szCs w:val="21"/>
                <w:highlight w:val="none"/>
              </w:rPr>
              <w:t>*</w:t>
            </w:r>
            <w:r>
              <w:rPr>
                <w:rFonts w:hint="eastAsia" w:cs="宋体" w:asciiTheme="majorEastAsia" w:hAnsiTheme="majorEastAsia" w:eastAsiaTheme="majorEastAsia"/>
                <w:color w:val="auto"/>
                <w:kern w:val="20"/>
                <w:sz w:val="21"/>
                <w:szCs w:val="21"/>
                <w:highlight w:val="none"/>
              </w:rPr>
              <w:t>本项目采用线下谈判，请符合条件的响应人携带规定的材料于</w:t>
            </w:r>
            <w:r>
              <w:rPr>
                <w:rFonts w:hint="eastAsia" w:cs="宋体" w:asciiTheme="majorEastAsia" w:hAnsiTheme="majorEastAsia" w:eastAsiaTheme="majorEastAsia"/>
                <w:color w:val="auto"/>
                <w:sz w:val="21"/>
                <w:szCs w:val="21"/>
                <w:highlight w:val="none"/>
              </w:rPr>
              <w:t>谈判</w:t>
            </w:r>
            <w:r>
              <w:rPr>
                <w:rFonts w:hint="eastAsia" w:cs="宋体" w:asciiTheme="majorEastAsia" w:hAnsiTheme="majorEastAsia" w:eastAsiaTheme="majorEastAsia"/>
                <w:color w:val="auto"/>
                <w:kern w:val="20"/>
                <w:sz w:val="21"/>
                <w:szCs w:val="21"/>
                <w:highlight w:val="none"/>
              </w:rPr>
              <w:t>开始前到</w:t>
            </w:r>
            <w:r>
              <w:rPr>
                <w:rFonts w:hint="eastAsia" w:cs="宋体" w:asciiTheme="majorEastAsia" w:hAnsiTheme="majorEastAsia" w:eastAsiaTheme="majorEastAsia"/>
                <w:color w:val="auto"/>
                <w:sz w:val="21"/>
                <w:szCs w:val="21"/>
                <w:highlight w:val="none"/>
              </w:rPr>
              <w:t>谈判</w:t>
            </w:r>
            <w:r>
              <w:rPr>
                <w:rFonts w:hint="eastAsia" w:cs="宋体" w:asciiTheme="majorEastAsia" w:hAnsiTheme="majorEastAsia" w:eastAsiaTheme="majorEastAsia"/>
                <w:color w:val="auto"/>
                <w:kern w:val="20"/>
                <w:sz w:val="21"/>
                <w:szCs w:val="21"/>
                <w:highlight w:val="none"/>
              </w:rPr>
              <w:t>地点，进行</w:t>
            </w:r>
            <w:r>
              <w:rPr>
                <w:rFonts w:hint="eastAsia" w:cs="宋体" w:asciiTheme="majorEastAsia" w:hAnsiTheme="majorEastAsia" w:eastAsiaTheme="majorEastAsia"/>
                <w:color w:val="auto"/>
                <w:sz w:val="21"/>
                <w:szCs w:val="21"/>
                <w:highlight w:val="none"/>
              </w:rPr>
              <w:t>谈判</w:t>
            </w:r>
            <w:r>
              <w:rPr>
                <w:rFonts w:hint="eastAsia" w:cs="宋体" w:asciiTheme="majorEastAsia" w:hAnsiTheme="majorEastAsia" w:eastAsiaTheme="majorEastAsia"/>
                <w:color w:val="auto"/>
                <w:kern w:val="20"/>
                <w:sz w:val="21"/>
                <w:szCs w:val="21"/>
                <w:highlight w:val="none"/>
              </w:rPr>
              <w:t>。</w:t>
            </w:r>
            <w:r>
              <w:rPr>
                <w:rFonts w:cs="宋体" w:asciiTheme="majorEastAsia" w:hAnsiTheme="majorEastAsia" w:eastAsiaTheme="majorEastAsia"/>
                <w:color w:val="auto"/>
                <w:sz w:val="21"/>
                <w:szCs w:val="21"/>
                <w:highlight w:val="none"/>
              </w:rPr>
              <w:t>除上述方式之外，不接受响应人以邮箱、快递及其他任何方式提交的响应文件。</w:t>
            </w:r>
          </w:p>
        </w:tc>
      </w:tr>
      <w:tr w14:paraId="7F5B99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8" w:hRule="atLeast"/>
          <w:jc w:val="center"/>
        </w:trPr>
        <w:tc>
          <w:tcPr>
            <w:tcW w:w="700" w:type="dxa"/>
            <w:tcBorders>
              <w:bottom w:val="single" w:color="auto" w:sz="4" w:space="0"/>
              <w:right w:val="single" w:color="auto" w:sz="4" w:space="0"/>
            </w:tcBorders>
            <w:vAlign w:val="center"/>
          </w:tcPr>
          <w:p w14:paraId="5D539633">
            <w:pPr>
              <w:spacing w:line="420" w:lineRule="exact"/>
              <w:jc w:val="center"/>
              <w:rPr>
                <w:color w:val="auto"/>
                <w:sz w:val="21"/>
                <w:szCs w:val="21"/>
                <w:highlight w:val="none"/>
              </w:rPr>
            </w:pPr>
            <w:r>
              <w:rPr>
                <w:rFonts w:hint="eastAsia" w:cs="宋体" w:asciiTheme="majorEastAsia" w:hAnsiTheme="majorEastAsia" w:eastAsiaTheme="majorEastAsia"/>
                <w:color w:val="auto"/>
                <w:sz w:val="21"/>
                <w:szCs w:val="21"/>
                <w:highlight w:val="none"/>
              </w:rPr>
              <w:t>15</w:t>
            </w:r>
          </w:p>
        </w:tc>
        <w:tc>
          <w:tcPr>
            <w:tcW w:w="2249" w:type="dxa"/>
            <w:tcBorders>
              <w:left w:val="single" w:color="auto" w:sz="4" w:space="0"/>
              <w:bottom w:val="single" w:color="auto" w:sz="4" w:space="0"/>
              <w:right w:val="single" w:color="auto" w:sz="4" w:space="0"/>
            </w:tcBorders>
            <w:vAlign w:val="center"/>
          </w:tcPr>
          <w:p w14:paraId="4F38EE2B">
            <w:pPr>
              <w:spacing w:line="420" w:lineRule="exact"/>
              <w:jc w:val="center"/>
              <w:rPr>
                <w:rFonts w:cs="宋体"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响应文件份数</w:t>
            </w:r>
          </w:p>
        </w:tc>
        <w:tc>
          <w:tcPr>
            <w:tcW w:w="6647" w:type="dxa"/>
            <w:tcBorders>
              <w:top w:val="single" w:color="auto" w:sz="4" w:space="0"/>
              <w:left w:val="single" w:color="auto" w:sz="4" w:space="0"/>
              <w:bottom w:val="single" w:color="auto" w:sz="4" w:space="0"/>
            </w:tcBorders>
            <w:vAlign w:val="center"/>
          </w:tcPr>
          <w:p w14:paraId="5248B277">
            <w:pPr>
              <w:spacing w:line="420" w:lineRule="exact"/>
              <w:rPr>
                <w:rFonts w:cs="宋体" w:asciiTheme="majorEastAsia" w:hAnsiTheme="majorEastAsia" w:eastAsiaTheme="majorEastAsia"/>
                <w:color w:val="auto"/>
                <w:sz w:val="21"/>
                <w:szCs w:val="21"/>
                <w:highlight w:val="none"/>
              </w:rPr>
            </w:pPr>
            <w:r>
              <w:rPr>
                <w:rFonts w:cs="宋体" w:asciiTheme="majorEastAsia" w:hAnsiTheme="majorEastAsia" w:eastAsiaTheme="majorEastAsia"/>
                <w:b/>
                <w:color w:val="auto"/>
                <w:kern w:val="20"/>
                <w:sz w:val="21"/>
                <w:szCs w:val="21"/>
                <w:highlight w:val="none"/>
              </w:rPr>
              <w:t>*</w:t>
            </w:r>
            <w:r>
              <w:rPr>
                <w:rFonts w:asciiTheme="majorEastAsia" w:hAnsiTheme="majorEastAsia" w:eastAsiaTheme="majorEastAsia"/>
                <w:color w:val="auto"/>
                <w:sz w:val="21"/>
                <w:szCs w:val="21"/>
                <w:highlight w:val="none"/>
              </w:rPr>
              <w:t>15.1</w:t>
            </w:r>
            <w:r>
              <w:rPr>
                <w:rFonts w:hint="eastAsia" w:cs="宋体" w:asciiTheme="majorEastAsia" w:hAnsiTheme="majorEastAsia" w:eastAsiaTheme="majorEastAsia"/>
                <w:color w:val="auto"/>
                <w:sz w:val="21"/>
                <w:szCs w:val="21"/>
                <w:highlight w:val="none"/>
              </w:rPr>
              <w:t>响应文件一式</w:t>
            </w:r>
            <w:r>
              <w:rPr>
                <w:rFonts w:hint="eastAsia" w:cs="宋体" w:asciiTheme="majorEastAsia" w:hAnsiTheme="majorEastAsia" w:eastAsiaTheme="majorEastAsia"/>
                <w:color w:val="auto"/>
                <w:sz w:val="21"/>
                <w:szCs w:val="21"/>
                <w:highlight w:val="none"/>
                <w:lang w:val="en-US" w:eastAsia="zh-CN"/>
              </w:rPr>
              <w:t>二</w:t>
            </w:r>
            <w:r>
              <w:rPr>
                <w:rFonts w:hint="eastAsia" w:cs="宋体" w:asciiTheme="majorEastAsia" w:hAnsiTheme="majorEastAsia" w:eastAsiaTheme="majorEastAsia"/>
                <w:color w:val="auto"/>
                <w:sz w:val="21"/>
                <w:szCs w:val="21"/>
                <w:highlight w:val="none"/>
              </w:rPr>
              <w:t>份，一份正本、</w:t>
            </w:r>
            <w:r>
              <w:rPr>
                <w:rFonts w:hint="eastAsia" w:cs="宋体" w:asciiTheme="majorEastAsia" w:hAnsiTheme="majorEastAsia" w:eastAsiaTheme="majorEastAsia"/>
                <w:color w:val="auto"/>
                <w:sz w:val="21"/>
                <w:szCs w:val="21"/>
                <w:highlight w:val="none"/>
                <w:lang w:val="en-US" w:eastAsia="zh-CN"/>
              </w:rPr>
              <w:t>一</w:t>
            </w:r>
            <w:r>
              <w:rPr>
                <w:rFonts w:hint="eastAsia" w:cs="宋体" w:asciiTheme="majorEastAsia" w:hAnsiTheme="majorEastAsia" w:eastAsiaTheme="majorEastAsia"/>
                <w:color w:val="auto"/>
                <w:sz w:val="21"/>
                <w:szCs w:val="21"/>
                <w:highlight w:val="none"/>
              </w:rPr>
              <w:t>份副本；正本和副本分开装订，用封套分别加以密封。</w:t>
            </w:r>
          </w:p>
          <w:p w14:paraId="7F1B56A5">
            <w:pPr>
              <w:spacing w:line="420" w:lineRule="exact"/>
              <w:rPr>
                <w:rFonts w:cs="宋体" w:asciiTheme="majorEastAsia" w:hAnsiTheme="majorEastAsia" w:eastAsiaTheme="majorEastAsia"/>
                <w:color w:val="auto"/>
                <w:sz w:val="21"/>
                <w:szCs w:val="21"/>
                <w:highlight w:val="none"/>
              </w:rPr>
            </w:pPr>
            <w:r>
              <w:rPr>
                <w:rFonts w:cs="宋体" w:asciiTheme="majorEastAsia" w:hAnsiTheme="majorEastAsia" w:eastAsiaTheme="majorEastAsia"/>
                <w:b/>
                <w:color w:val="auto"/>
                <w:kern w:val="20"/>
                <w:sz w:val="21"/>
                <w:szCs w:val="21"/>
                <w:highlight w:val="none"/>
              </w:rPr>
              <w:t>*</w:t>
            </w:r>
            <w:r>
              <w:rPr>
                <w:rFonts w:hint="eastAsia" w:cs="宋体" w:asciiTheme="majorEastAsia" w:hAnsiTheme="majorEastAsia" w:eastAsiaTheme="majorEastAsia"/>
                <w:color w:val="auto"/>
                <w:sz w:val="21"/>
                <w:szCs w:val="21"/>
                <w:highlight w:val="none"/>
              </w:rPr>
              <w:t>1</w:t>
            </w:r>
            <w:r>
              <w:rPr>
                <w:rFonts w:cs="宋体" w:asciiTheme="majorEastAsia" w:hAnsiTheme="majorEastAsia" w:eastAsiaTheme="majorEastAsia"/>
                <w:color w:val="auto"/>
                <w:sz w:val="21"/>
                <w:szCs w:val="21"/>
                <w:highlight w:val="none"/>
              </w:rPr>
              <w:t>5</w:t>
            </w:r>
            <w:r>
              <w:rPr>
                <w:rFonts w:hint="eastAsia" w:cs="宋体" w:asciiTheme="majorEastAsia" w:hAnsiTheme="majorEastAsia" w:eastAsiaTheme="majorEastAsia"/>
                <w:color w:val="auto"/>
                <w:sz w:val="21"/>
                <w:szCs w:val="21"/>
                <w:highlight w:val="none"/>
              </w:rPr>
              <w:t>.2响应文件的装订必须采用胶订或线订等形式，不得采用活页装订方式，否则，其响应将被拒绝。</w:t>
            </w:r>
          </w:p>
          <w:p w14:paraId="3B46F578">
            <w:pPr>
              <w:spacing w:line="420" w:lineRule="exact"/>
              <w:rPr>
                <w:rFonts w:cs="宋体" w:asciiTheme="majorEastAsia" w:hAnsiTheme="majorEastAsia" w:eastAsiaTheme="majorEastAsia"/>
                <w:b/>
                <w:color w:val="auto"/>
                <w:sz w:val="21"/>
                <w:szCs w:val="21"/>
                <w:highlight w:val="none"/>
              </w:rPr>
            </w:pPr>
            <w:r>
              <w:rPr>
                <w:rFonts w:hint="eastAsia" w:cs="宋体" w:asciiTheme="majorEastAsia" w:hAnsiTheme="majorEastAsia" w:eastAsiaTheme="majorEastAsia"/>
                <w:b/>
                <w:color w:val="auto"/>
                <w:sz w:val="21"/>
                <w:szCs w:val="21"/>
                <w:highlight w:val="none"/>
              </w:rPr>
              <w:t>注：以上材料未按要求提供的，资料不全或不符合要求的作无效响应文件处理。</w:t>
            </w:r>
          </w:p>
        </w:tc>
      </w:tr>
      <w:tr w14:paraId="06A4B4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58" w:hRule="atLeast"/>
          <w:jc w:val="center"/>
        </w:trPr>
        <w:tc>
          <w:tcPr>
            <w:tcW w:w="700" w:type="dxa"/>
            <w:tcBorders>
              <w:bottom w:val="single" w:color="auto" w:sz="4" w:space="0"/>
              <w:right w:val="single" w:color="auto" w:sz="4" w:space="0"/>
            </w:tcBorders>
            <w:vAlign w:val="center"/>
          </w:tcPr>
          <w:p w14:paraId="5F9B711B">
            <w:pPr>
              <w:spacing w:line="420" w:lineRule="exact"/>
              <w:jc w:val="center"/>
              <w:rPr>
                <w:color w:val="auto"/>
                <w:sz w:val="21"/>
                <w:szCs w:val="21"/>
                <w:highlight w:val="none"/>
              </w:rPr>
            </w:pPr>
            <w:r>
              <w:rPr>
                <w:rFonts w:hint="eastAsia" w:cs="宋体" w:asciiTheme="majorEastAsia" w:hAnsiTheme="majorEastAsia" w:eastAsiaTheme="majorEastAsia"/>
                <w:color w:val="auto"/>
                <w:sz w:val="21"/>
                <w:szCs w:val="21"/>
                <w:highlight w:val="none"/>
              </w:rPr>
              <w:t>16</w:t>
            </w:r>
          </w:p>
        </w:tc>
        <w:tc>
          <w:tcPr>
            <w:tcW w:w="2249" w:type="dxa"/>
            <w:tcBorders>
              <w:left w:val="single" w:color="auto" w:sz="4" w:space="0"/>
              <w:bottom w:val="single" w:color="auto" w:sz="4" w:space="0"/>
              <w:right w:val="single" w:color="auto" w:sz="4" w:space="0"/>
            </w:tcBorders>
            <w:vAlign w:val="center"/>
          </w:tcPr>
          <w:p w14:paraId="22C1A513">
            <w:pPr>
              <w:snapToGrid w:val="0"/>
              <w:spacing w:line="420" w:lineRule="exact"/>
              <w:jc w:val="center"/>
              <w:rPr>
                <w:rFonts w:cs="宋体"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是否允许响应人将项目非主体、非关键性工作交由他人完成</w:t>
            </w:r>
          </w:p>
        </w:tc>
        <w:tc>
          <w:tcPr>
            <w:tcW w:w="6647" w:type="dxa"/>
            <w:tcBorders>
              <w:top w:val="single" w:color="auto" w:sz="4" w:space="0"/>
              <w:left w:val="single" w:color="auto" w:sz="4" w:space="0"/>
              <w:bottom w:val="single" w:color="auto" w:sz="4" w:space="0"/>
            </w:tcBorders>
            <w:vAlign w:val="center"/>
          </w:tcPr>
          <w:p w14:paraId="778E611F">
            <w:pPr>
              <w:snapToGrid w:val="0"/>
              <w:spacing w:line="420" w:lineRule="exact"/>
              <w:jc w:val="left"/>
              <w:rPr>
                <w:rFonts w:cs="宋体"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 xml:space="preserve">■  </w:t>
            </w:r>
            <w:r>
              <w:rPr>
                <w:rFonts w:hint="eastAsia" w:cs="宋体" w:asciiTheme="majorEastAsia" w:hAnsiTheme="majorEastAsia" w:eastAsiaTheme="majorEastAsia"/>
                <w:color w:val="auto"/>
                <w:sz w:val="21"/>
                <w:szCs w:val="21"/>
                <w:highlight w:val="none"/>
                <w:lang w:val="zh-CN"/>
              </w:rPr>
              <w:t>否</w:t>
            </w:r>
          </w:p>
        </w:tc>
      </w:tr>
      <w:tr w14:paraId="25764B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64" w:hRule="atLeast"/>
          <w:jc w:val="center"/>
        </w:trPr>
        <w:tc>
          <w:tcPr>
            <w:tcW w:w="700" w:type="dxa"/>
            <w:tcBorders>
              <w:bottom w:val="single" w:color="auto" w:sz="4" w:space="0"/>
              <w:right w:val="single" w:color="auto" w:sz="4" w:space="0"/>
            </w:tcBorders>
            <w:vAlign w:val="center"/>
          </w:tcPr>
          <w:p w14:paraId="445ED07D">
            <w:pPr>
              <w:spacing w:line="420" w:lineRule="exact"/>
              <w:jc w:val="center"/>
              <w:rPr>
                <w:rFonts w:cs="宋体"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17</w:t>
            </w:r>
          </w:p>
        </w:tc>
        <w:tc>
          <w:tcPr>
            <w:tcW w:w="2249" w:type="dxa"/>
            <w:tcBorders>
              <w:left w:val="single" w:color="auto" w:sz="4" w:space="0"/>
              <w:bottom w:val="single" w:color="auto" w:sz="4" w:space="0"/>
              <w:right w:val="single" w:color="auto" w:sz="4" w:space="0"/>
            </w:tcBorders>
            <w:vAlign w:val="center"/>
          </w:tcPr>
          <w:p w14:paraId="0B37FCEA">
            <w:pPr>
              <w:spacing w:line="420" w:lineRule="exact"/>
              <w:jc w:val="center"/>
              <w:rPr>
                <w:rFonts w:cs="宋体"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资格审查材料</w:t>
            </w:r>
          </w:p>
        </w:tc>
        <w:tc>
          <w:tcPr>
            <w:tcW w:w="6647" w:type="dxa"/>
            <w:tcBorders>
              <w:top w:val="single" w:color="auto" w:sz="4" w:space="0"/>
              <w:left w:val="single" w:color="auto" w:sz="4" w:space="0"/>
              <w:bottom w:val="single" w:color="auto" w:sz="4" w:space="0"/>
            </w:tcBorders>
            <w:vAlign w:val="center"/>
          </w:tcPr>
          <w:p w14:paraId="3D130642">
            <w:pPr>
              <w:spacing w:line="420" w:lineRule="exact"/>
              <w:rPr>
                <w:rFonts w:cs="宋体" w:asciiTheme="majorEastAsia" w:hAnsiTheme="majorEastAsia" w:eastAsiaTheme="majorEastAsia"/>
                <w:color w:val="auto"/>
                <w:sz w:val="21"/>
                <w:szCs w:val="21"/>
                <w:highlight w:val="none"/>
              </w:rPr>
            </w:pPr>
            <w:r>
              <w:rPr>
                <w:rFonts w:hint="eastAsia" w:cs="宋体" w:asciiTheme="majorEastAsia" w:hAnsiTheme="majorEastAsia" w:eastAsiaTheme="majorEastAsia"/>
                <w:b/>
                <w:color w:val="auto"/>
                <w:sz w:val="21"/>
                <w:szCs w:val="21"/>
                <w:highlight w:val="none"/>
              </w:rPr>
              <w:t>*</w:t>
            </w:r>
            <w:r>
              <w:rPr>
                <w:rFonts w:hint="eastAsia" w:cs="宋体" w:asciiTheme="majorEastAsia" w:hAnsiTheme="majorEastAsia" w:eastAsiaTheme="majorEastAsia"/>
                <w:color w:val="auto"/>
                <w:sz w:val="21"/>
                <w:szCs w:val="21"/>
                <w:highlight w:val="none"/>
              </w:rPr>
              <w:t>本项目采用</w:t>
            </w:r>
            <w:r>
              <w:rPr>
                <w:rFonts w:hint="eastAsia" w:cs="宋体" w:asciiTheme="majorEastAsia" w:hAnsiTheme="majorEastAsia" w:eastAsiaTheme="majorEastAsia"/>
                <w:b/>
                <w:bCs/>
                <w:color w:val="auto"/>
                <w:sz w:val="21"/>
                <w:szCs w:val="21"/>
                <w:highlight w:val="none"/>
              </w:rPr>
              <w:t>资格后审方式</w:t>
            </w:r>
            <w:r>
              <w:rPr>
                <w:rFonts w:hint="eastAsia" w:cs="宋体" w:asciiTheme="majorEastAsia" w:hAnsiTheme="majorEastAsia" w:eastAsiaTheme="majorEastAsia"/>
                <w:color w:val="auto"/>
                <w:sz w:val="21"/>
                <w:szCs w:val="21"/>
                <w:highlight w:val="none"/>
              </w:rPr>
              <w:t>，</w:t>
            </w:r>
            <w:r>
              <w:rPr>
                <w:rFonts w:hint="eastAsia" w:cs="宋体" w:asciiTheme="majorEastAsia" w:hAnsiTheme="majorEastAsia" w:eastAsiaTheme="majorEastAsia"/>
                <w:b/>
                <w:bCs/>
                <w:color w:val="auto"/>
                <w:sz w:val="21"/>
                <w:szCs w:val="21"/>
                <w:highlight w:val="none"/>
              </w:rPr>
              <w:t>资格后审需提供的材料如下：</w:t>
            </w:r>
          </w:p>
          <w:p w14:paraId="69356AE8">
            <w:pPr>
              <w:spacing w:line="400" w:lineRule="exact"/>
              <w:jc w:val="left"/>
              <w:rPr>
                <w:rFonts w:ascii="宋体" w:hAnsi="宋体" w:cs="宋体"/>
                <w:color w:val="auto"/>
                <w:sz w:val="21"/>
                <w:szCs w:val="21"/>
                <w:highlight w:val="none"/>
              </w:rPr>
            </w:pPr>
            <w:r>
              <w:rPr>
                <w:rFonts w:hint="eastAsia" w:ascii="宋体" w:hAnsi="宋体" w:cs="宋体"/>
                <w:color w:val="auto"/>
                <w:sz w:val="21"/>
                <w:szCs w:val="21"/>
                <w:highlight w:val="none"/>
              </w:rPr>
              <w:t>响应人基本资格条件承诺书；（格式详见响应文件格式附件六）</w:t>
            </w:r>
          </w:p>
          <w:p w14:paraId="0F0A1773">
            <w:pPr>
              <w:spacing w:line="420" w:lineRule="exact"/>
              <w:rPr>
                <w:rFonts w:cs="宋体"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注：在响应文件中提供，无需另外提供。</w:t>
            </w:r>
          </w:p>
        </w:tc>
      </w:tr>
      <w:tr w14:paraId="08E92E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64" w:hRule="atLeast"/>
          <w:jc w:val="center"/>
        </w:trPr>
        <w:tc>
          <w:tcPr>
            <w:tcW w:w="700" w:type="dxa"/>
            <w:tcBorders>
              <w:bottom w:val="single" w:color="auto" w:sz="4" w:space="0"/>
              <w:right w:val="single" w:color="auto" w:sz="4" w:space="0"/>
            </w:tcBorders>
            <w:vAlign w:val="center"/>
          </w:tcPr>
          <w:p w14:paraId="548D0E3E">
            <w:pPr>
              <w:spacing w:line="420" w:lineRule="exact"/>
              <w:jc w:val="center"/>
              <w:rPr>
                <w:rFonts w:cs="宋体"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18</w:t>
            </w:r>
          </w:p>
        </w:tc>
        <w:tc>
          <w:tcPr>
            <w:tcW w:w="2249" w:type="dxa"/>
            <w:tcBorders>
              <w:left w:val="single" w:color="auto" w:sz="4" w:space="0"/>
              <w:bottom w:val="single" w:color="auto" w:sz="4" w:space="0"/>
              <w:right w:val="single" w:color="auto" w:sz="4" w:space="0"/>
            </w:tcBorders>
            <w:vAlign w:val="center"/>
          </w:tcPr>
          <w:p w14:paraId="2E5411D0">
            <w:pPr>
              <w:spacing w:line="420" w:lineRule="exact"/>
              <w:jc w:val="center"/>
              <w:rPr>
                <w:rFonts w:cs="宋体"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响应有效期</w:t>
            </w:r>
          </w:p>
        </w:tc>
        <w:tc>
          <w:tcPr>
            <w:tcW w:w="6647" w:type="dxa"/>
            <w:tcBorders>
              <w:top w:val="single" w:color="auto" w:sz="4" w:space="0"/>
              <w:left w:val="single" w:color="auto" w:sz="4" w:space="0"/>
              <w:bottom w:val="single" w:color="auto" w:sz="4" w:space="0"/>
            </w:tcBorders>
            <w:vAlign w:val="center"/>
          </w:tcPr>
          <w:p w14:paraId="5A4E4A71">
            <w:pPr>
              <w:spacing w:line="420" w:lineRule="exact"/>
              <w:rPr>
                <w:rFonts w:cs="宋体"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lang w:val="en-US" w:eastAsia="zh-CN"/>
              </w:rPr>
              <w:t>60日历天</w:t>
            </w:r>
            <w:r>
              <w:rPr>
                <w:rFonts w:hint="eastAsia" w:cs="宋体" w:asciiTheme="majorEastAsia" w:hAnsiTheme="majorEastAsia" w:eastAsiaTheme="majorEastAsia"/>
                <w:color w:val="auto"/>
                <w:sz w:val="21"/>
                <w:szCs w:val="21"/>
                <w:highlight w:val="none"/>
              </w:rPr>
              <w:t>（投标有效期从提交响应文件的截止之日起算。有效期短于该规定期限的投标无效）</w:t>
            </w:r>
          </w:p>
        </w:tc>
      </w:tr>
      <w:tr w14:paraId="4DF824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5" w:hRule="atLeast"/>
          <w:jc w:val="center"/>
        </w:trPr>
        <w:tc>
          <w:tcPr>
            <w:tcW w:w="700" w:type="dxa"/>
            <w:tcBorders>
              <w:bottom w:val="single" w:color="auto" w:sz="4" w:space="0"/>
              <w:right w:val="single" w:color="auto" w:sz="4" w:space="0"/>
            </w:tcBorders>
            <w:vAlign w:val="center"/>
          </w:tcPr>
          <w:p w14:paraId="1D74A041">
            <w:pPr>
              <w:spacing w:line="420" w:lineRule="exact"/>
              <w:jc w:val="center"/>
              <w:rPr>
                <w:rFonts w:cs="宋体"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19</w:t>
            </w:r>
          </w:p>
        </w:tc>
        <w:tc>
          <w:tcPr>
            <w:tcW w:w="2249" w:type="dxa"/>
            <w:tcBorders>
              <w:left w:val="single" w:color="auto" w:sz="4" w:space="0"/>
              <w:bottom w:val="single" w:color="auto" w:sz="4" w:space="0"/>
              <w:right w:val="single" w:color="auto" w:sz="4" w:space="0"/>
            </w:tcBorders>
            <w:vAlign w:val="center"/>
          </w:tcPr>
          <w:p w14:paraId="67DC8C60">
            <w:pPr>
              <w:spacing w:line="420" w:lineRule="exact"/>
              <w:jc w:val="center"/>
              <w:rPr>
                <w:rFonts w:cs="宋体" w:asciiTheme="majorEastAsia" w:hAnsiTheme="majorEastAsia" w:eastAsiaTheme="majorEastAsia"/>
                <w:color w:val="auto"/>
                <w:sz w:val="21"/>
                <w:szCs w:val="21"/>
                <w:highlight w:val="none"/>
              </w:rPr>
            </w:pPr>
            <w:r>
              <w:rPr>
                <w:rFonts w:hint="eastAsia" w:ascii="宋体" w:hAnsi="宋体" w:cs="宋体"/>
                <w:color w:val="auto"/>
                <w:sz w:val="21"/>
                <w:szCs w:val="21"/>
                <w:highlight w:val="none"/>
              </w:rPr>
              <w:t>是否收取履约保证金</w:t>
            </w:r>
          </w:p>
        </w:tc>
        <w:tc>
          <w:tcPr>
            <w:tcW w:w="6647" w:type="dxa"/>
            <w:tcBorders>
              <w:top w:val="single" w:color="auto" w:sz="4" w:space="0"/>
              <w:left w:val="single" w:color="auto" w:sz="4" w:space="0"/>
              <w:bottom w:val="single" w:color="auto" w:sz="4" w:space="0"/>
            </w:tcBorders>
            <w:vAlign w:val="center"/>
          </w:tcPr>
          <w:p w14:paraId="56E382CB">
            <w:pPr>
              <w:spacing w:line="420" w:lineRule="exact"/>
              <w:rPr>
                <w:color w:val="auto"/>
                <w:highlight w:val="none"/>
              </w:rPr>
            </w:pPr>
            <w:r>
              <w:rPr>
                <w:rFonts w:hint="eastAsia" w:ascii="宋体" w:hAnsi="宋体" w:cs="宋体"/>
                <w:b/>
                <w:bCs/>
                <w:color w:val="auto"/>
                <w:sz w:val="21"/>
                <w:szCs w:val="21"/>
                <w:highlight w:val="none"/>
                <w:lang w:val="en-US" w:eastAsia="zh-CN"/>
              </w:rPr>
              <w:t>否</w:t>
            </w:r>
          </w:p>
        </w:tc>
      </w:tr>
      <w:tr w14:paraId="50D6AD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top w:val="single" w:color="000000" w:sz="4" w:space="0"/>
              <w:bottom w:val="single" w:color="auto" w:sz="4" w:space="0"/>
              <w:right w:val="single" w:color="auto" w:sz="4" w:space="0"/>
            </w:tcBorders>
            <w:vAlign w:val="center"/>
          </w:tcPr>
          <w:p w14:paraId="3F2517B4">
            <w:pPr>
              <w:spacing w:line="420" w:lineRule="exact"/>
              <w:jc w:val="center"/>
              <w:rPr>
                <w:rFonts w:cs="宋体" w:asciiTheme="majorEastAsia" w:hAnsiTheme="majorEastAsia" w:eastAsiaTheme="majorEastAsia"/>
                <w:color w:val="auto"/>
                <w:sz w:val="21"/>
                <w:szCs w:val="21"/>
                <w:highlight w:val="none"/>
              </w:rPr>
            </w:pPr>
            <w:r>
              <w:rPr>
                <w:rFonts w:hint="eastAsia" w:ascii="宋体" w:hAnsi="宋体" w:cs="宋体"/>
                <w:bCs/>
                <w:color w:val="auto"/>
                <w:kern w:val="0"/>
                <w:sz w:val="21"/>
                <w:szCs w:val="21"/>
                <w:highlight w:val="none"/>
              </w:rPr>
              <w:t>20</w:t>
            </w:r>
          </w:p>
        </w:tc>
        <w:tc>
          <w:tcPr>
            <w:tcW w:w="2249" w:type="dxa"/>
            <w:tcBorders>
              <w:left w:val="single" w:color="auto" w:sz="4" w:space="0"/>
              <w:bottom w:val="single" w:color="auto" w:sz="4" w:space="0"/>
              <w:right w:val="single" w:color="auto" w:sz="4" w:space="0"/>
            </w:tcBorders>
            <w:vAlign w:val="center"/>
          </w:tcPr>
          <w:p w14:paraId="18C1E4E5">
            <w:pPr>
              <w:snapToGrid w:val="0"/>
              <w:spacing w:line="420" w:lineRule="exact"/>
              <w:jc w:val="center"/>
              <w:rPr>
                <w:rFonts w:cs="宋体"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采购资金的支付方式、时间、条件</w:t>
            </w:r>
          </w:p>
        </w:tc>
        <w:tc>
          <w:tcPr>
            <w:tcW w:w="6647" w:type="dxa"/>
            <w:tcBorders>
              <w:top w:val="single" w:color="auto" w:sz="4" w:space="0"/>
              <w:left w:val="single" w:color="auto" w:sz="4" w:space="0"/>
              <w:bottom w:val="single" w:color="auto" w:sz="4" w:space="0"/>
            </w:tcBorders>
            <w:vAlign w:val="center"/>
          </w:tcPr>
          <w:p w14:paraId="08482C23">
            <w:pPr>
              <w:spacing w:line="410" w:lineRule="exact"/>
              <w:jc w:val="left"/>
              <w:rPr>
                <w:rFonts w:cs="宋体" w:asciiTheme="majorEastAsia" w:hAnsiTheme="majorEastAsia" w:eastAsiaTheme="majorEastAsia"/>
                <w:color w:val="auto"/>
                <w:sz w:val="21"/>
                <w:szCs w:val="21"/>
                <w:highlight w:val="none"/>
              </w:rPr>
            </w:pPr>
            <w:r>
              <w:rPr>
                <w:rFonts w:hint="eastAsia" w:ascii="宋体" w:hAnsi="宋体" w:cs="宋体"/>
                <w:bCs/>
                <w:color w:val="auto"/>
                <w:sz w:val="21"/>
                <w:szCs w:val="21"/>
                <w:highlight w:val="none"/>
              </w:rPr>
              <w:t>详见合同条款</w:t>
            </w:r>
          </w:p>
        </w:tc>
      </w:tr>
      <w:tr w14:paraId="462E16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00" w:type="dxa"/>
            <w:tcBorders>
              <w:top w:val="single" w:color="auto" w:sz="4" w:space="0"/>
              <w:bottom w:val="single" w:color="auto" w:sz="4" w:space="0"/>
              <w:right w:val="single" w:color="auto" w:sz="4" w:space="0"/>
            </w:tcBorders>
            <w:vAlign w:val="center"/>
          </w:tcPr>
          <w:p w14:paraId="3931D5F0">
            <w:pPr>
              <w:snapToGrid w:val="0"/>
              <w:spacing w:line="410" w:lineRule="exact"/>
              <w:jc w:val="center"/>
              <w:rPr>
                <w:rFonts w:ascii="宋体" w:hAnsi="宋体" w:cs="宋体"/>
                <w:bCs/>
                <w:color w:val="auto"/>
                <w:kern w:val="0"/>
                <w:sz w:val="21"/>
                <w:szCs w:val="21"/>
                <w:highlight w:val="none"/>
              </w:rPr>
            </w:pPr>
            <w:r>
              <w:rPr>
                <w:rFonts w:hint="eastAsia" w:ascii="宋体" w:hAnsi="宋体" w:cs="宋体"/>
                <w:bCs/>
                <w:color w:val="auto"/>
                <w:kern w:val="0"/>
                <w:sz w:val="21"/>
                <w:szCs w:val="21"/>
                <w:highlight w:val="none"/>
              </w:rPr>
              <w:t>21</w:t>
            </w:r>
          </w:p>
        </w:tc>
        <w:tc>
          <w:tcPr>
            <w:tcW w:w="2249" w:type="dxa"/>
            <w:tcBorders>
              <w:top w:val="single" w:color="auto" w:sz="4" w:space="0"/>
              <w:left w:val="single" w:color="auto" w:sz="4" w:space="0"/>
              <w:bottom w:val="single" w:color="auto" w:sz="4" w:space="0"/>
              <w:right w:val="single" w:color="auto" w:sz="4" w:space="0"/>
            </w:tcBorders>
            <w:vAlign w:val="center"/>
          </w:tcPr>
          <w:p w14:paraId="0A5193F9">
            <w:pPr>
              <w:spacing w:line="400" w:lineRule="exact"/>
              <w:jc w:val="center"/>
              <w:rPr>
                <w:rFonts w:ascii="宋体" w:hAnsi="宋体" w:cs="宋体"/>
                <w:bCs/>
                <w:color w:val="auto"/>
                <w:kern w:val="0"/>
                <w:sz w:val="21"/>
                <w:szCs w:val="21"/>
                <w:highlight w:val="none"/>
              </w:rPr>
            </w:pPr>
            <w:r>
              <w:rPr>
                <w:rFonts w:hint="eastAsia" w:ascii="宋体" w:hAnsi="宋体" w:cs="宋体"/>
                <w:color w:val="auto"/>
                <w:sz w:val="21"/>
                <w:szCs w:val="21"/>
                <w:highlight w:val="none"/>
                <w:lang w:bidi="ar"/>
              </w:rPr>
              <w:t>谈判报价次数</w:t>
            </w:r>
          </w:p>
        </w:tc>
        <w:tc>
          <w:tcPr>
            <w:tcW w:w="6647" w:type="dxa"/>
            <w:tcBorders>
              <w:top w:val="single" w:color="auto" w:sz="4" w:space="0"/>
              <w:left w:val="single" w:color="auto" w:sz="4" w:space="0"/>
            </w:tcBorders>
            <w:vAlign w:val="center"/>
          </w:tcPr>
          <w:p w14:paraId="77C2F29E">
            <w:pPr>
              <w:spacing w:line="400" w:lineRule="exact"/>
              <w:rPr>
                <w:rFonts w:ascii="宋体" w:hAnsi="宋体" w:cs="宋体"/>
                <w:b/>
                <w:color w:val="auto"/>
                <w:sz w:val="21"/>
                <w:szCs w:val="21"/>
                <w:highlight w:val="none"/>
              </w:rPr>
            </w:pPr>
            <w:r>
              <w:rPr>
                <w:rFonts w:hint="eastAsia" w:ascii="宋体" w:hAnsi="宋体" w:cs="宋体"/>
                <w:color w:val="auto"/>
                <w:sz w:val="21"/>
                <w:szCs w:val="21"/>
                <w:highlight w:val="none"/>
              </w:rPr>
              <w:t>本项目采用二轮报价，响应文件中书面报价为首轮报价（不公开），第二轮报价不得超过首轮报价，第二轮报价即为最终报价；否则作无效响应处理。</w:t>
            </w:r>
          </w:p>
        </w:tc>
      </w:tr>
      <w:tr w14:paraId="3F8777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8" w:hRule="atLeast"/>
          <w:jc w:val="center"/>
        </w:trPr>
        <w:tc>
          <w:tcPr>
            <w:tcW w:w="700" w:type="dxa"/>
            <w:tcBorders>
              <w:top w:val="single" w:color="auto" w:sz="4" w:space="0"/>
              <w:bottom w:val="single" w:color="auto" w:sz="4" w:space="0"/>
              <w:right w:val="single" w:color="auto" w:sz="4" w:space="0"/>
            </w:tcBorders>
            <w:vAlign w:val="center"/>
          </w:tcPr>
          <w:p w14:paraId="2A028BBC">
            <w:pPr>
              <w:snapToGrid w:val="0"/>
              <w:spacing w:line="410" w:lineRule="exact"/>
              <w:jc w:val="center"/>
              <w:rPr>
                <w:rFonts w:ascii="宋体" w:hAnsi="宋体" w:cs="宋体"/>
                <w:bCs/>
                <w:color w:val="auto"/>
                <w:kern w:val="0"/>
                <w:sz w:val="21"/>
                <w:szCs w:val="21"/>
                <w:highlight w:val="none"/>
              </w:rPr>
            </w:pPr>
            <w:r>
              <w:rPr>
                <w:rFonts w:hint="eastAsia" w:ascii="宋体" w:hAnsi="宋体" w:cs="宋体"/>
                <w:bCs/>
                <w:color w:val="auto"/>
                <w:kern w:val="0"/>
                <w:sz w:val="21"/>
                <w:szCs w:val="21"/>
                <w:highlight w:val="none"/>
              </w:rPr>
              <w:t>23</w:t>
            </w:r>
          </w:p>
        </w:tc>
        <w:tc>
          <w:tcPr>
            <w:tcW w:w="2249" w:type="dxa"/>
            <w:tcBorders>
              <w:top w:val="single" w:color="auto" w:sz="4" w:space="0"/>
              <w:left w:val="single" w:color="auto" w:sz="4" w:space="0"/>
              <w:bottom w:val="single" w:color="auto" w:sz="4" w:space="0"/>
              <w:right w:val="single" w:color="auto" w:sz="4" w:space="0"/>
            </w:tcBorders>
            <w:vAlign w:val="center"/>
          </w:tcPr>
          <w:p w14:paraId="1FA54A46">
            <w:pPr>
              <w:snapToGrid w:val="0"/>
              <w:spacing w:line="410" w:lineRule="exact"/>
              <w:jc w:val="center"/>
              <w:rPr>
                <w:rFonts w:ascii="宋体" w:hAnsi="宋体" w:cs="宋体"/>
                <w:bCs/>
                <w:color w:val="auto"/>
                <w:kern w:val="0"/>
                <w:sz w:val="21"/>
                <w:szCs w:val="21"/>
                <w:highlight w:val="none"/>
              </w:rPr>
            </w:pPr>
            <w:r>
              <w:rPr>
                <w:rFonts w:hint="eastAsia" w:ascii="宋体" w:hAnsi="宋体" w:cs="宋体"/>
                <w:bCs/>
                <w:color w:val="auto"/>
                <w:kern w:val="0"/>
                <w:sz w:val="21"/>
                <w:szCs w:val="21"/>
                <w:highlight w:val="none"/>
              </w:rPr>
              <w:t>注意事项</w:t>
            </w:r>
          </w:p>
        </w:tc>
        <w:tc>
          <w:tcPr>
            <w:tcW w:w="6647" w:type="dxa"/>
            <w:tcBorders>
              <w:top w:val="single" w:color="auto" w:sz="4" w:space="0"/>
              <w:left w:val="single" w:color="auto" w:sz="4" w:space="0"/>
              <w:bottom w:val="single" w:color="auto" w:sz="4" w:space="0"/>
            </w:tcBorders>
            <w:vAlign w:val="center"/>
          </w:tcPr>
          <w:p w14:paraId="13A099C9">
            <w:pPr>
              <w:snapToGrid w:val="0"/>
              <w:spacing w:line="410" w:lineRule="exact"/>
              <w:jc w:val="left"/>
              <w:rPr>
                <w:rFonts w:ascii="宋体" w:hAnsi="宋体" w:cs="宋体"/>
                <w:bCs/>
                <w:color w:val="auto"/>
                <w:sz w:val="21"/>
                <w:szCs w:val="21"/>
                <w:highlight w:val="none"/>
              </w:rPr>
            </w:pPr>
            <w:r>
              <w:rPr>
                <w:rFonts w:hint="eastAsia" w:ascii="宋体" w:hAnsi="宋体" w:cs="宋体"/>
                <w:bCs/>
                <w:color w:val="auto"/>
                <w:sz w:val="21"/>
                <w:szCs w:val="21"/>
                <w:highlight w:val="none"/>
              </w:rPr>
              <w:t>1、响应人的法定代表人（或委托代理人）必须参加开标会，并在采购人按开标程序进行点名身份核验时，各到场人员需提供以下材料：</w:t>
            </w:r>
          </w:p>
          <w:p w14:paraId="5992C8F2">
            <w:pPr>
              <w:snapToGrid w:val="0"/>
              <w:spacing w:line="410" w:lineRule="exact"/>
              <w:jc w:val="left"/>
              <w:rPr>
                <w:rFonts w:ascii="宋体" w:hAnsi="宋体" w:cs="宋体"/>
                <w:bCs/>
                <w:color w:val="auto"/>
                <w:sz w:val="21"/>
                <w:szCs w:val="21"/>
                <w:highlight w:val="none"/>
              </w:rPr>
            </w:pPr>
            <w:r>
              <w:rPr>
                <w:rFonts w:hint="eastAsia" w:ascii="宋体" w:hAnsi="宋体" w:cs="宋体"/>
                <w:bCs/>
                <w:color w:val="auto"/>
                <w:sz w:val="21"/>
                <w:szCs w:val="21"/>
                <w:highlight w:val="none"/>
              </w:rPr>
              <w:t>（1）如法定代表人参加开标会，须提交《法定代表人资格证明书》（除响应文件中另单独手持一份）及法定代表人第二代居民身份证原件进行身份核验；</w:t>
            </w:r>
          </w:p>
          <w:p w14:paraId="068F9102">
            <w:pPr>
              <w:snapToGrid w:val="0"/>
              <w:spacing w:line="410" w:lineRule="exact"/>
              <w:jc w:val="left"/>
              <w:rPr>
                <w:rFonts w:ascii="宋体" w:hAnsi="宋体" w:cs="宋体"/>
                <w:bCs/>
                <w:color w:val="auto"/>
                <w:sz w:val="21"/>
                <w:szCs w:val="21"/>
                <w:highlight w:val="none"/>
              </w:rPr>
            </w:pPr>
            <w:r>
              <w:rPr>
                <w:rFonts w:hint="eastAsia" w:ascii="宋体" w:hAnsi="宋体" w:cs="宋体"/>
                <w:bCs/>
                <w:color w:val="auto"/>
                <w:sz w:val="21"/>
                <w:szCs w:val="21"/>
                <w:highlight w:val="none"/>
              </w:rPr>
              <w:t xml:space="preserve">（2）如委托代理人参加开标会，须提交《法定代表人授权委托书》（除响应文件中另单独手持一份）及委托代理人第二代居民身份证原件进行身份核验； </w:t>
            </w:r>
          </w:p>
          <w:p w14:paraId="0ABFEDFF">
            <w:pPr>
              <w:snapToGrid w:val="0"/>
              <w:spacing w:line="410" w:lineRule="exact"/>
              <w:jc w:val="left"/>
              <w:rPr>
                <w:rFonts w:ascii="宋体" w:hAnsi="宋体" w:cs="宋体"/>
                <w:bCs/>
                <w:color w:val="auto"/>
                <w:sz w:val="21"/>
                <w:szCs w:val="21"/>
                <w:highlight w:val="none"/>
              </w:rPr>
            </w:pPr>
            <w:r>
              <w:rPr>
                <w:rFonts w:hint="eastAsia" w:ascii="宋体" w:hAnsi="宋体" w:cs="宋体"/>
                <w:bCs/>
                <w:color w:val="auto"/>
                <w:sz w:val="21"/>
                <w:szCs w:val="21"/>
                <w:highlight w:val="none"/>
              </w:rPr>
              <w:t>（3）其他注意事项</w:t>
            </w:r>
          </w:p>
          <w:p w14:paraId="0B2F182D">
            <w:pPr>
              <w:snapToGrid w:val="0"/>
              <w:spacing w:line="410" w:lineRule="exact"/>
              <w:jc w:val="left"/>
              <w:rPr>
                <w:rFonts w:ascii="宋体" w:hAnsi="宋体" w:cs="宋体"/>
                <w:bCs/>
                <w:color w:val="auto"/>
                <w:sz w:val="21"/>
                <w:szCs w:val="21"/>
                <w:highlight w:val="none"/>
              </w:rPr>
            </w:pPr>
            <w:r>
              <w:rPr>
                <w:rFonts w:hint="eastAsia" w:ascii="宋体" w:hAnsi="宋体" w:cs="宋体"/>
                <w:bCs/>
                <w:color w:val="auto"/>
                <w:sz w:val="21"/>
                <w:szCs w:val="21"/>
                <w:highlight w:val="none"/>
              </w:rPr>
              <w:t>以上参加人员在开标时间截止时有下列情形之一的，视为自动放弃投标处理，采购人不予受理：</w:t>
            </w:r>
          </w:p>
          <w:p w14:paraId="3AFDEC3F">
            <w:pPr>
              <w:snapToGrid w:val="0"/>
              <w:spacing w:line="410" w:lineRule="exact"/>
              <w:jc w:val="left"/>
              <w:rPr>
                <w:rFonts w:ascii="宋体" w:hAnsi="宋体" w:cs="宋体"/>
                <w:bCs/>
                <w:color w:val="auto"/>
                <w:sz w:val="21"/>
                <w:szCs w:val="21"/>
                <w:highlight w:val="none"/>
              </w:rPr>
            </w:pPr>
            <w:r>
              <w:rPr>
                <w:rFonts w:hint="eastAsia" w:ascii="宋体" w:hAnsi="宋体" w:cs="宋体"/>
                <w:bCs/>
                <w:color w:val="auto"/>
                <w:sz w:val="21"/>
                <w:szCs w:val="21"/>
                <w:highlight w:val="none"/>
              </w:rPr>
              <w:t>未到达开标现场的；</w:t>
            </w:r>
          </w:p>
          <w:p w14:paraId="5018978D">
            <w:pPr>
              <w:snapToGrid w:val="0"/>
              <w:spacing w:line="410" w:lineRule="exact"/>
              <w:jc w:val="left"/>
              <w:rPr>
                <w:rFonts w:ascii="宋体" w:hAnsi="宋体" w:cs="宋体"/>
                <w:bCs/>
                <w:color w:val="auto"/>
                <w:sz w:val="21"/>
                <w:szCs w:val="21"/>
                <w:highlight w:val="none"/>
              </w:rPr>
            </w:pPr>
            <w:r>
              <w:rPr>
                <w:rFonts w:hint="eastAsia" w:ascii="宋体" w:hAnsi="宋体" w:cs="宋体"/>
                <w:bCs/>
                <w:color w:val="auto"/>
                <w:sz w:val="21"/>
                <w:szCs w:val="21"/>
                <w:highlight w:val="none"/>
              </w:rPr>
              <w:t>未参加投标签到的；</w:t>
            </w:r>
          </w:p>
          <w:p w14:paraId="02BC8CA4">
            <w:pPr>
              <w:snapToGrid w:val="0"/>
              <w:spacing w:line="410" w:lineRule="exact"/>
              <w:jc w:val="left"/>
              <w:rPr>
                <w:rFonts w:ascii="宋体" w:hAnsi="宋体" w:cs="宋体"/>
                <w:bCs/>
                <w:color w:val="auto"/>
                <w:sz w:val="21"/>
                <w:szCs w:val="21"/>
                <w:highlight w:val="none"/>
              </w:rPr>
            </w:pPr>
            <w:r>
              <w:rPr>
                <w:rFonts w:hint="eastAsia" w:ascii="宋体" w:hAnsi="宋体" w:cs="宋体"/>
                <w:bCs/>
                <w:color w:val="auto"/>
                <w:sz w:val="21"/>
                <w:szCs w:val="21"/>
                <w:highlight w:val="none"/>
              </w:rPr>
              <w:t>身份核验时未能提供身份证明等相关材料的；</w:t>
            </w:r>
          </w:p>
          <w:p w14:paraId="0C2F20DD">
            <w:pPr>
              <w:snapToGrid w:val="0"/>
              <w:spacing w:line="410" w:lineRule="exact"/>
              <w:jc w:val="left"/>
              <w:rPr>
                <w:rFonts w:ascii="宋体" w:hAnsi="宋体" w:cs="宋体"/>
                <w:bCs/>
                <w:color w:val="auto"/>
                <w:sz w:val="21"/>
                <w:szCs w:val="21"/>
                <w:highlight w:val="none"/>
              </w:rPr>
            </w:pPr>
            <w:r>
              <w:rPr>
                <w:rFonts w:hint="eastAsia" w:ascii="宋体" w:hAnsi="宋体" w:cs="宋体"/>
                <w:bCs/>
                <w:color w:val="auto"/>
                <w:sz w:val="21"/>
                <w:szCs w:val="21"/>
                <w:highlight w:val="none"/>
              </w:rPr>
              <w:t>法律法规规定的其他情形。</w:t>
            </w:r>
          </w:p>
          <w:p w14:paraId="0628FF89">
            <w:pPr>
              <w:snapToGrid w:val="0"/>
              <w:spacing w:line="410" w:lineRule="exact"/>
              <w:jc w:val="left"/>
              <w:rPr>
                <w:rFonts w:ascii="宋体" w:hAnsi="宋体" w:cs="宋体"/>
                <w:bCs/>
                <w:color w:val="auto"/>
                <w:sz w:val="21"/>
                <w:szCs w:val="21"/>
                <w:highlight w:val="none"/>
              </w:rPr>
            </w:pPr>
            <w:r>
              <w:rPr>
                <w:rFonts w:hint="eastAsia" w:ascii="宋体" w:hAnsi="宋体" w:cs="宋体"/>
                <w:bCs/>
                <w:color w:val="auto"/>
                <w:sz w:val="21"/>
                <w:szCs w:val="21"/>
                <w:highlight w:val="none"/>
              </w:rPr>
              <w:t>备注：各个响应人进入开标现场的人员必须服从采购人及招标代理人员管理。</w:t>
            </w:r>
          </w:p>
          <w:p w14:paraId="3CFFF49B">
            <w:pPr>
              <w:snapToGrid w:val="0"/>
              <w:spacing w:line="410" w:lineRule="exact"/>
              <w:jc w:val="left"/>
              <w:rPr>
                <w:rFonts w:ascii="宋体" w:hAnsi="宋体" w:cs="宋体"/>
                <w:bCs/>
                <w:color w:val="auto"/>
                <w:sz w:val="21"/>
                <w:szCs w:val="21"/>
                <w:highlight w:val="none"/>
              </w:rPr>
            </w:pPr>
            <w:r>
              <w:rPr>
                <w:rFonts w:ascii="宋体" w:hAnsi="宋体" w:cs="宋体"/>
                <w:bCs/>
                <w:color w:val="auto"/>
                <w:sz w:val="21"/>
                <w:szCs w:val="21"/>
                <w:highlight w:val="none"/>
              </w:rPr>
              <w:t>2</w:t>
            </w:r>
            <w:r>
              <w:rPr>
                <w:rFonts w:hint="eastAsia" w:ascii="宋体" w:hAnsi="宋体" w:cs="宋体"/>
                <w:bCs/>
                <w:color w:val="auto"/>
                <w:sz w:val="21"/>
                <w:szCs w:val="21"/>
                <w:highlight w:val="none"/>
              </w:rPr>
              <w:t>、本工程结算时须开具增值税专用发票，其税费须综合考虑在报价中。</w:t>
            </w:r>
          </w:p>
          <w:p w14:paraId="12E21FA7">
            <w:pPr>
              <w:snapToGrid w:val="0"/>
              <w:spacing w:line="410" w:lineRule="exact"/>
              <w:jc w:val="left"/>
              <w:rPr>
                <w:color w:val="auto"/>
                <w:highlight w:val="none"/>
              </w:rPr>
            </w:pPr>
            <w:r>
              <w:rPr>
                <w:rFonts w:ascii="宋体" w:hAnsi="宋体" w:cs="宋体"/>
                <w:bCs/>
                <w:color w:val="auto"/>
                <w:sz w:val="21"/>
                <w:szCs w:val="21"/>
                <w:highlight w:val="none"/>
              </w:rPr>
              <w:t>3、</w:t>
            </w:r>
            <w:r>
              <w:rPr>
                <w:rFonts w:hint="eastAsia" w:ascii="宋体" w:hAnsi="宋体" w:cs="宋体"/>
                <w:bCs/>
                <w:color w:val="auto"/>
                <w:sz w:val="21"/>
                <w:szCs w:val="21"/>
                <w:highlight w:val="none"/>
              </w:rPr>
              <w:t>成交服务费按人民币</w:t>
            </w:r>
            <w:r>
              <w:rPr>
                <w:rFonts w:hint="eastAsia" w:ascii="宋体" w:hAnsi="宋体" w:cs="宋体"/>
                <w:b/>
                <w:bCs/>
                <w:color w:val="auto"/>
                <w:sz w:val="21"/>
                <w:szCs w:val="21"/>
                <w:highlight w:val="none"/>
                <w:lang w:val="en-US" w:eastAsia="zh-CN"/>
              </w:rPr>
              <w:t>3000</w:t>
            </w:r>
            <w:r>
              <w:rPr>
                <w:rFonts w:hint="eastAsia" w:ascii="宋体" w:hAnsi="宋体" w:cs="宋体"/>
                <w:b/>
                <w:bCs/>
                <w:color w:val="auto"/>
                <w:sz w:val="21"/>
                <w:szCs w:val="21"/>
                <w:highlight w:val="none"/>
              </w:rPr>
              <w:t>元</w:t>
            </w:r>
            <w:r>
              <w:rPr>
                <w:rFonts w:hint="eastAsia" w:ascii="宋体" w:hAnsi="宋体" w:cs="宋体"/>
                <w:bCs/>
                <w:color w:val="auto"/>
                <w:sz w:val="21"/>
                <w:szCs w:val="21"/>
                <w:highlight w:val="none"/>
              </w:rPr>
              <w:t>收取，需中标单位在领取中标通知书时一次性付给招标代理单位，响应人在报价时综合考虑在响应报价中。</w:t>
            </w:r>
          </w:p>
        </w:tc>
      </w:tr>
    </w:tbl>
    <w:p w14:paraId="4B1BB13F">
      <w:pPr>
        <w:spacing w:line="420" w:lineRule="exact"/>
        <w:rPr>
          <w:rFonts w:ascii="宋体" w:hAnsi="宋体" w:cs="宋体"/>
          <w:b/>
          <w:bCs/>
          <w:color w:val="auto"/>
          <w:sz w:val="21"/>
          <w:szCs w:val="21"/>
          <w:highlight w:val="none"/>
        </w:rPr>
      </w:pPr>
      <w:r>
        <w:rPr>
          <w:rFonts w:hint="eastAsia" w:ascii="宋体" w:hAnsi="宋体" w:cs="宋体"/>
          <w:b/>
          <w:bCs/>
          <w:color w:val="auto"/>
          <w:sz w:val="21"/>
          <w:szCs w:val="21"/>
          <w:highlight w:val="none"/>
        </w:rPr>
        <w:t>注：</w:t>
      </w:r>
    </w:p>
    <w:p w14:paraId="25E275C7">
      <w:pPr>
        <w:spacing w:line="420" w:lineRule="exact"/>
        <w:rPr>
          <w:rFonts w:ascii="宋体" w:hAnsi="宋体" w:cs="宋体"/>
          <w:b/>
          <w:bCs/>
          <w:color w:val="auto"/>
          <w:sz w:val="21"/>
          <w:szCs w:val="21"/>
          <w:highlight w:val="none"/>
        </w:rPr>
      </w:pPr>
      <w:r>
        <w:rPr>
          <w:rFonts w:hint="eastAsia" w:ascii="宋体" w:hAnsi="宋体" w:cs="宋体"/>
          <w:b/>
          <w:bCs/>
          <w:color w:val="auto"/>
          <w:sz w:val="21"/>
          <w:szCs w:val="21"/>
          <w:highlight w:val="none"/>
        </w:rPr>
        <w:t>1.上表中加 * 项目若有缺失或无效，投标将被拒绝或投标无效且不允许在开标后补正；</w:t>
      </w:r>
    </w:p>
    <w:p w14:paraId="68F8565A">
      <w:pPr>
        <w:spacing w:line="420" w:lineRule="exact"/>
        <w:rPr>
          <w:rFonts w:ascii="宋体" w:hAnsi="宋体" w:cs="宋体"/>
          <w:b/>
          <w:bCs/>
          <w:color w:val="auto"/>
          <w:sz w:val="21"/>
          <w:szCs w:val="21"/>
          <w:highlight w:val="none"/>
        </w:rPr>
      </w:pPr>
      <w:r>
        <w:rPr>
          <w:rFonts w:hint="eastAsia" w:ascii="宋体" w:hAnsi="宋体" w:cs="宋体"/>
          <w:b/>
          <w:bCs/>
          <w:color w:val="auto"/>
          <w:sz w:val="21"/>
          <w:szCs w:val="21"/>
          <w:highlight w:val="none"/>
        </w:rPr>
        <w:t>2.响应人须知前附表内容如与谈判文件其他部分不一致，以响应人须知前附表为准。</w:t>
      </w:r>
    </w:p>
    <w:p w14:paraId="382B2297">
      <w:pPr>
        <w:widowControl/>
        <w:jc w:val="left"/>
        <w:rPr>
          <w:rFonts w:ascii="宋体" w:hAnsi="宋体" w:cs="宋体"/>
          <w:b/>
          <w:bCs/>
          <w:color w:val="auto"/>
          <w:sz w:val="24"/>
          <w:szCs w:val="24"/>
          <w:highlight w:val="none"/>
        </w:rPr>
      </w:pPr>
      <w:r>
        <w:rPr>
          <w:rFonts w:ascii="宋体" w:hAnsi="宋体" w:cs="宋体"/>
          <w:b/>
          <w:bCs/>
          <w:color w:val="auto"/>
          <w:sz w:val="24"/>
          <w:szCs w:val="24"/>
          <w:highlight w:val="none"/>
        </w:rPr>
        <w:br w:type="page"/>
      </w:r>
    </w:p>
    <w:p w14:paraId="0F787718">
      <w:pPr>
        <w:spacing w:line="400" w:lineRule="exact"/>
        <w:jc w:val="center"/>
        <w:outlineLvl w:val="0"/>
        <w:rPr>
          <w:rFonts w:ascii="宋体" w:hAnsi="宋体" w:cs="宋体"/>
          <w:b/>
          <w:color w:val="auto"/>
          <w:szCs w:val="21"/>
          <w:highlight w:val="none"/>
        </w:rPr>
      </w:pPr>
      <w:r>
        <w:rPr>
          <w:rFonts w:hint="eastAsia" w:ascii="宋体" w:hAnsi="宋体" w:cs="宋体"/>
          <w:b/>
          <w:bCs/>
          <w:color w:val="auto"/>
          <w:sz w:val="24"/>
          <w:szCs w:val="24"/>
          <w:highlight w:val="none"/>
        </w:rPr>
        <w:t>第三部分</w:t>
      </w:r>
      <w:r>
        <w:rPr>
          <w:rFonts w:ascii="宋体" w:hAnsi="宋体" w:cs="宋体"/>
          <w:b/>
          <w:bCs/>
          <w:color w:val="auto"/>
          <w:sz w:val="24"/>
          <w:szCs w:val="24"/>
          <w:highlight w:val="none"/>
        </w:rPr>
        <w:t xml:space="preserve">  </w:t>
      </w:r>
      <w:r>
        <w:rPr>
          <w:rFonts w:hint="eastAsia" w:ascii="宋体" w:hAnsi="宋体" w:cs="宋体"/>
          <w:b/>
          <w:bCs/>
          <w:color w:val="auto"/>
          <w:sz w:val="24"/>
          <w:szCs w:val="24"/>
          <w:highlight w:val="none"/>
        </w:rPr>
        <w:t>响应人须知</w:t>
      </w:r>
    </w:p>
    <w:p w14:paraId="644833BA">
      <w:pPr>
        <w:pStyle w:val="48"/>
        <w:widowControl/>
        <w:spacing w:line="400" w:lineRule="exact"/>
        <w:ind w:firstLine="0" w:firstLineChars="0"/>
        <w:rPr>
          <w:rFonts w:ascii="宋体" w:hAnsi="宋体" w:cs="宋体"/>
          <w:b/>
          <w:color w:val="auto"/>
          <w:szCs w:val="21"/>
          <w:highlight w:val="none"/>
        </w:rPr>
      </w:pPr>
      <w:r>
        <w:rPr>
          <w:rFonts w:hint="eastAsia" w:ascii="宋体" w:hAnsi="宋体" w:cs="宋体"/>
          <w:b/>
          <w:color w:val="auto"/>
          <w:szCs w:val="21"/>
          <w:highlight w:val="none"/>
        </w:rPr>
        <w:t>一、定义</w:t>
      </w:r>
    </w:p>
    <w:p w14:paraId="2005E3A1">
      <w:pPr>
        <w:spacing w:line="400" w:lineRule="exact"/>
        <w:ind w:firstLine="420" w:firstLineChars="200"/>
        <w:rPr>
          <w:rFonts w:ascii="宋体" w:hAnsi="宋体" w:cs="宋体"/>
          <w:bCs/>
          <w:color w:val="auto"/>
          <w:sz w:val="21"/>
          <w:szCs w:val="21"/>
          <w:highlight w:val="none"/>
        </w:rPr>
      </w:pPr>
      <w:r>
        <w:rPr>
          <w:rFonts w:hint="eastAsia" w:ascii="宋体" w:hAnsi="宋体" w:cs="宋体"/>
          <w:bCs/>
          <w:color w:val="auto"/>
          <w:sz w:val="21"/>
          <w:szCs w:val="21"/>
          <w:highlight w:val="none"/>
        </w:rPr>
        <w:t>1.1“采购人”指本项目的具体采购单位，名称详见</w:t>
      </w:r>
      <w:r>
        <w:rPr>
          <w:rFonts w:hint="eastAsia" w:ascii="宋体" w:hAnsi="宋体" w:cs="宋体"/>
          <w:b/>
          <w:color w:val="auto"/>
          <w:sz w:val="21"/>
          <w:szCs w:val="21"/>
          <w:highlight w:val="none"/>
        </w:rPr>
        <w:t>响应人须知前附表</w:t>
      </w:r>
      <w:r>
        <w:rPr>
          <w:rFonts w:hint="eastAsia" w:ascii="宋体" w:hAnsi="宋体" w:cs="宋体"/>
          <w:bCs/>
          <w:color w:val="auto"/>
          <w:sz w:val="21"/>
          <w:szCs w:val="21"/>
          <w:highlight w:val="none"/>
        </w:rPr>
        <w:t>。</w:t>
      </w:r>
    </w:p>
    <w:p w14:paraId="11248E47">
      <w:pPr>
        <w:spacing w:line="400" w:lineRule="exact"/>
        <w:ind w:firstLine="420" w:firstLineChars="200"/>
        <w:rPr>
          <w:rFonts w:ascii="宋体" w:hAnsi="宋体" w:cs="宋体"/>
          <w:bCs/>
          <w:color w:val="auto"/>
          <w:sz w:val="21"/>
          <w:szCs w:val="21"/>
          <w:highlight w:val="none"/>
        </w:rPr>
      </w:pPr>
      <w:r>
        <w:rPr>
          <w:rFonts w:hint="eastAsia" w:ascii="宋体" w:hAnsi="宋体" w:cs="宋体"/>
          <w:bCs/>
          <w:color w:val="auto"/>
          <w:sz w:val="21"/>
          <w:szCs w:val="21"/>
          <w:highlight w:val="none"/>
        </w:rPr>
        <w:t>1.2“招标货物”指本</w:t>
      </w:r>
      <w:r>
        <w:rPr>
          <w:rFonts w:hint="eastAsia" w:cs="宋体" w:asciiTheme="majorEastAsia" w:hAnsiTheme="majorEastAsia" w:eastAsiaTheme="majorEastAsia"/>
          <w:color w:val="auto"/>
          <w:sz w:val="21"/>
          <w:szCs w:val="21"/>
          <w:highlight w:val="none"/>
        </w:rPr>
        <w:t>谈判文件</w:t>
      </w:r>
      <w:r>
        <w:rPr>
          <w:rFonts w:hint="eastAsia" w:ascii="宋体" w:hAnsi="宋体" w:cs="宋体"/>
          <w:bCs/>
          <w:color w:val="auto"/>
          <w:sz w:val="21"/>
          <w:szCs w:val="21"/>
          <w:highlight w:val="none"/>
        </w:rPr>
        <w:t>中所述所有货物及实现货物功能价值所必须的配套技术和服务。</w:t>
      </w:r>
    </w:p>
    <w:p w14:paraId="18AA9A80">
      <w:pPr>
        <w:spacing w:line="400" w:lineRule="exact"/>
        <w:ind w:firstLine="420" w:firstLineChars="200"/>
        <w:rPr>
          <w:rFonts w:ascii="宋体" w:hAnsi="宋体" w:cs="宋体"/>
          <w:bCs/>
          <w:color w:val="auto"/>
          <w:sz w:val="21"/>
          <w:szCs w:val="21"/>
          <w:highlight w:val="none"/>
        </w:rPr>
      </w:pPr>
      <w:r>
        <w:rPr>
          <w:rFonts w:hint="eastAsia" w:ascii="宋体" w:hAnsi="宋体" w:cs="宋体"/>
          <w:bCs/>
          <w:color w:val="auto"/>
          <w:sz w:val="21"/>
          <w:szCs w:val="21"/>
          <w:highlight w:val="none"/>
        </w:rPr>
        <w:t>1.3“服务”指本</w:t>
      </w:r>
      <w:r>
        <w:rPr>
          <w:rFonts w:hint="eastAsia" w:cs="宋体" w:asciiTheme="majorEastAsia" w:hAnsiTheme="majorEastAsia" w:eastAsiaTheme="majorEastAsia"/>
          <w:color w:val="auto"/>
          <w:sz w:val="21"/>
          <w:szCs w:val="21"/>
          <w:highlight w:val="none"/>
        </w:rPr>
        <w:t>谈判文件</w:t>
      </w:r>
      <w:r>
        <w:rPr>
          <w:rFonts w:hint="eastAsia" w:ascii="宋体" w:hAnsi="宋体" w:cs="宋体"/>
          <w:bCs/>
          <w:color w:val="auto"/>
          <w:sz w:val="21"/>
          <w:szCs w:val="21"/>
          <w:highlight w:val="none"/>
        </w:rPr>
        <w:t>所述响应人应该履行的承诺和义务。</w:t>
      </w:r>
    </w:p>
    <w:p w14:paraId="2B3C45F5">
      <w:pPr>
        <w:spacing w:line="400" w:lineRule="exact"/>
        <w:ind w:firstLine="420" w:firstLineChars="200"/>
        <w:rPr>
          <w:rFonts w:ascii="宋体" w:hAnsi="宋体" w:cs="宋体"/>
          <w:bCs/>
          <w:color w:val="auto"/>
          <w:sz w:val="21"/>
          <w:szCs w:val="21"/>
          <w:highlight w:val="none"/>
        </w:rPr>
      </w:pPr>
      <w:r>
        <w:rPr>
          <w:rFonts w:hint="eastAsia" w:ascii="宋体" w:hAnsi="宋体" w:cs="宋体"/>
          <w:bCs/>
          <w:color w:val="auto"/>
          <w:sz w:val="21"/>
          <w:szCs w:val="21"/>
          <w:highlight w:val="none"/>
        </w:rPr>
        <w:t>1.4“响应人”指符合本</w:t>
      </w:r>
      <w:r>
        <w:rPr>
          <w:rFonts w:hint="eastAsia" w:cs="宋体" w:asciiTheme="majorEastAsia" w:hAnsiTheme="majorEastAsia" w:eastAsiaTheme="majorEastAsia"/>
          <w:color w:val="auto"/>
          <w:sz w:val="21"/>
          <w:szCs w:val="21"/>
          <w:highlight w:val="none"/>
        </w:rPr>
        <w:t>谈判文件</w:t>
      </w:r>
      <w:r>
        <w:rPr>
          <w:rFonts w:hint="eastAsia" w:ascii="宋体" w:hAnsi="宋体" w:cs="宋体"/>
          <w:bCs/>
          <w:color w:val="auto"/>
          <w:sz w:val="21"/>
          <w:szCs w:val="21"/>
          <w:highlight w:val="none"/>
        </w:rPr>
        <w:t>规定并参加投标的供应商。</w:t>
      </w:r>
    </w:p>
    <w:p w14:paraId="761C092A">
      <w:pPr>
        <w:spacing w:line="400" w:lineRule="exact"/>
        <w:ind w:firstLine="420" w:firstLineChars="200"/>
        <w:rPr>
          <w:rFonts w:ascii="宋体" w:hAnsi="宋体" w:cs="宋体"/>
          <w:bCs/>
          <w:color w:val="auto"/>
          <w:sz w:val="21"/>
          <w:szCs w:val="21"/>
          <w:highlight w:val="none"/>
        </w:rPr>
      </w:pPr>
      <w:r>
        <w:rPr>
          <w:rFonts w:hint="eastAsia" w:ascii="宋体" w:hAnsi="宋体" w:cs="宋体"/>
          <w:bCs/>
          <w:color w:val="auto"/>
          <w:sz w:val="21"/>
          <w:szCs w:val="21"/>
          <w:highlight w:val="none"/>
        </w:rPr>
        <w:t>1.5“潜在响应人”指符合本</w:t>
      </w:r>
      <w:r>
        <w:rPr>
          <w:rFonts w:hint="eastAsia" w:cs="宋体" w:asciiTheme="majorEastAsia" w:hAnsiTheme="majorEastAsia" w:eastAsiaTheme="majorEastAsia"/>
          <w:color w:val="auto"/>
          <w:sz w:val="21"/>
          <w:szCs w:val="21"/>
          <w:highlight w:val="none"/>
        </w:rPr>
        <w:t>谈判文件</w:t>
      </w:r>
      <w:r>
        <w:rPr>
          <w:rFonts w:hint="eastAsia" w:ascii="宋体" w:hAnsi="宋体" w:cs="宋体"/>
          <w:bCs/>
          <w:color w:val="auto"/>
          <w:sz w:val="21"/>
          <w:szCs w:val="21"/>
          <w:highlight w:val="none"/>
        </w:rPr>
        <w:t>各项规定的合格供应商。</w:t>
      </w:r>
    </w:p>
    <w:p w14:paraId="0DA781A8">
      <w:pPr>
        <w:spacing w:line="400" w:lineRule="exact"/>
        <w:ind w:firstLine="420" w:firstLineChars="200"/>
        <w:rPr>
          <w:rFonts w:ascii="宋体" w:hAnsi="宋体" w:cs="宋体"/>
          <w:bCs/>
          <w:color w:val="auto"/>
          <w:sz w:val="21"/>
          <w:szCs w:val="21"/>
          <w:highlight w:val="none"/>
        </w:rPr>
      </w:pPr>
      <w:r>
        <w:rPr>
          <w:rFonts w:hint="eastAsia" w:ascii="宋体" w:hAnsi="宋体" w:cs="宋体"/>
          <w:bCs/>
          <w:color w:val="auto"/>
          <w:sz w:val="21"/>
          <w:szCs w:val="21"/>
          <w:highlight w:val="none"/>
        </w:rPr>
        <w:t>1.6 本</w:t>
      </w:r>
      <w:r>
        <w:rPr>
          <w:rFonts w:hint="eastAsia" w:cs="宋体" w:asciiTheme="majorEastAsia" w:hAnsiTheme="majorEastAsia" w:eastAsiaTheme="majorEastAsia"/>
          <w:color w:val="auto"/>
          <w:sz w:val="21"/>
          <w:szCs w:val="21"/>
          <w:highlight w:val="none"/>
        </w:rPr>
        <w:t>谈判文件</w:t>
      </w:r>
      <w:r>
        <w:rPr>
          <w:rFonts w:hint="eastAsia" w:ascii="宋体" w:hAnsi="宋体" w:cs="宋体"/>
          <w:bCs/>
          <w:color w:val="auto"/>
          <w:sz w:val="21"/>
          <w:szCs w:val="21"/>
          <w:highlight w:val="none"/>
        </w:rPr>
        <w:t>规定按日计算期间的，开始当天不计入，从次日开始计算。期限的最后一日是国家法定节假日的，顺延到节假日后的次日为期限的最后一日。</w:t>
      </w:r>
    </w:p>
    <w:p w14:paraId="7BFD1914">
      <w:pPr>
        <w:spacing w:line="400" w:lineRule="exact"/>
        <w:rPr>
          <w:rFonts w:ascii="宋体" w:hAnsi="宋体" w:cs="宋体"/>
          <w:b/>
          <w:color w:val="auto"/>
          <w:sz w:val="21"/>
          <w:szCs w:val="21"/>
          <w:highlight w:val="none"/>
        </w:rPr>
      </w:pPr>
      <w:r>
        <w:rPr>
          <w:rFonts w:hint="eastAsia" w:ascii="宋体" w:hAnsi="宋体" w:cs="宋体"/>
          <w:b/>
          <w:color w:val="auto"/>
          <w:sz w:val="21"/>
          <w:szCs w:val="21"/>
          <w:highlight w:val="none"/>
        </w:rPr>
        <w:t>二、合格响应人的条件</w:t>
      </w:r>
    </w:p>
    <w:p w14:paraId="4B42C894">
      <w:pPr>
        <w:spacing w:line="400" w:lineRule="exact"/>
        <w:ind w:firstLine="420" w:firstLineChars="200"/>
        <w:rPr>
          <w:rFonts w:ascii="宋体" w:hAnsi="宋体" w:cs="宋体"/>
          <w:bCs/>
          <w:color w:val="auto"/>
          <w:sz w:val="21"/>
          <w:szCs w:val="21"/>
          <w:highlight w:val="none"/>
        </w:rPr>
      </w:pPr>
      <w:r>
        <w:rPr>
          <w:rFonts w:hint="eastAsia" w:ascii="宋体" w:hAnsi="宋体" w:cs="宋体"/>
          <w:bCs/>
          <w:color w:val="auto"/>
          <w:sz w:val="21"/>
          <w:szCs w:val="21"/>
          <w:highlight w:val="none"/>
        </w:rPr>
        <w:t>2.1具有本项目实施能力，符合、承认并承诺履行本</w:t>
      </w:r>
      <w:r>
        <w:rPr>
          <w:rFonts w:hint="eastAsia" w:cs="宋体" w:asciiTheme="majorEastAsia" w:hAnsiTheme="majorEastAsia" w:eastAsiaTheme="majorEastAsia"/>
          <w:color w:val="auto"/>
          <w:sz w:val="21"/>
          <w:szCs w:val="21"/>
          <w:highlight w:val="none"/>
        </w:rPr>
        <w:t>谈判文件</w:t>
      </w:r>
      <w:r>
        <w:rPr>
          <w:rFonts w:hint="eastAsia" w:ascii="宋体" w:hAnsi="宋体" w:cs="宋体"/>
          <w:bCs/>
          <w:color w:val="auto"/>
          <w:sz w:val="21"/>
          <w:szCs w:val="21"/>
          <w:highlight w:val="none"/>
        </w:rPr>
        <w:t>各项规定的国内供应商均可参加投标。</w:t>
      </w:r>
    </w:p>
    <w:p w14:paraId="75EC6C0D">
      <w:pPr>
        <w:spacing w:line="400" w:lineRule="exact"/>
        <w:ind w:firstLine="420" w:firstLineChars="200"/>
        <w:rPr>
          <w:rFonts w:ascii="宋体" w:hAnsi="宋体" w:cs="宋体"/>
          <w:b/>
          <w:color w:val="auto"/>
          <w:sz w:val="21"/>
          <w:szCs w:val="21"/>
          <w:highlight w:val="none"/>
          <w:u w:val="single"/>
        </w:rPr>
      </w:pPr>
      <w:r>
        <w:rPr>
          <w:rFonts w:hint="eastAsia" w:ascii="宋体" w:hAnsi="宋体" w:cs="宋体"/>
          <w:color w:val="auto"/>
          <w:sz w:val="21"/>
          <w:szCs w:val="21"/>
          <w:highlight w:val="none"/>
        </w:rPr>
        <w:t>2.2</w:t>
      </w:r>
      <w:r>
        <w:rPr>
          <w:rFonts w:hint="eastAsia" w:ascii="宋体" w:hAnsi="宋体" w:cs="宋体"/>
          <w:b/>
          <w:color w:val="auto"/>
          <w:sz w:val="21"/>
          <w:szCs w:val="21"/>
          <w:highlight w:val="none"/>
        </w:rPr>
        <w:t>特定资格条件：详见谈判公告；</w:t>
      </w:r>
    </w:p>
    <w:p w14:paraId="3C31071F">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2.3供应商单位负责人为同一人或者存在直接控股、管理关系的不同供应商，不得参加同一合同项下的采购活动；</w:t>
      </w:r>
    </w:p>
    <w:p w14:paraId="4AEA858C">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2.4凡为采购项目提供整体设计、规范编制或者项目管理、监理、检测等服务的供应商，不得再参加本项目的采购活动；</w:t>
      </w:r>
    </w:p>
    <w:p w14:paraId="3AE85B6C">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2.5本次采购是否允许两个（含）以上响应人组成一个联合体以一个响应人身份共同投标，详见</w:t>
      </w:r>
      <w:r>
        <w:rPr>
          <w:rFonts w:hint="eastAsia" w:ascii="宋体" w:hAnsi="宋体" w:cs="宋体"/>
          <w:b/>
          <w:bCs/>
          <w:color w:val="auto"/>
          <w:sz w:val="21"/>
          <w:szCs w:val="21"/>
          <w:highlight w:val="none"/>
        </w:rPr>
        <w:t>响应人须知前附表</w:t>
      </w:r>
      <w:r>
        <w:rPr>
          <w:rFonts w:hint="eastAsia" w:ascii="宋体" w:hAnsi="宋体" w:cs="宋体"/>
          <w:color w:val="auto"/>
          <w:sz w:val="21"/>
          <w:szCs w:val="21"/>
          <w:highlight w:val="none"/>
        </w:rPr>
        <w:t>。</w:t>
      </w:r>
      <w:r>
        <w:rPr>
          <w:rFonts w:hint="eastAsia" w:ascii="宋体" w:hAnsi="宋体" w:cs="宋体"/>
          <w:color w:val="auto"/>
          <w:sz w:val="21"/>
          <w:szCs w:val="21"/>
          <w:highlight w:val="none"/>
        </w:rPr>
        <w:t>如果允许联合体投标，联合体各方应符合下列要求：</w:t>
      </w:r>
    </w:p>
    <w:p w14:paraId="6889C18A">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（1）以联合体形式参加投标的，联合体各方均应当符合采购法第二十二条第一款规定的条件，并按照</w:t>
      </w:r>
      <w:r>
        <w:rPr>
          <w:rFonts w:hint="eastAsia" w:ascii="宋体" w:hAnsi="宋体" w:cs="宋体"/>
          <w:b/>
          <w:color w:val="auto"/>
          <w:sz w:val="21"/>
          <w:szCs w:val="21"/>
          <w:highlight w:val="none"/>
        </w:rPr>
        <w:t>响应人须知前附表</w:t>
      </w:r>
      <w:r>
        <w:rPr>
          <w:rFonts w:hint="eastAsia" w:ascii="宋体" w:hAnsi="宋体" w:cs="宋体"/>
          <w:color w:val="auto"/>
          <w:sz w:val="21"/>
          <w:szCs w:val="21"/>
          <w:highlight w:val="none"/>
        </w:rPr>
        <w:t>要求提交相关文件。采购人根据采购项目的特殊要求规定响应人特定条件的，联合体各方中至少应当有一方符合采购人规定的特定条件。</w:t>
      </w:r>
    </w:p>
    <w:p w14:paraId="4AB50DBD">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（2）联合体中有同类资质的供应商按照联合体分工承担相同工作的，应当按照资质等级较低的供应商确定资质等级。</w:t>
      </w:r>
    </w:p>
    <w:p w14:paraId="6010FCB9">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（3）以联合体形式参加采购活动的，联合体各方</w:t>
      </w:r>
      <w:r>
        <w:rPr>
          <w:rFonts w:hint="eastAsia" w:ascii="宋体" w:hAnsi="宋体" w:cs="宋体"/>
          <w:b/>
          <w:color w:val="auto"/>
          <w:sz w:val="21"/>
          <w:szCs w:val="21"/>
          <w:highlight w:val="none"/>
        </w:rPr>
        <w:t>不得</w:t>
      </w:r>
      <w:r>
        <w:rPr>
          <w:rFonts w:hint="eastAsia" w:ascii="宋体" w:hAnsi="宋体" w:cs="宋体"/>
          <w:color w:val="auto"/>
          <w:sz w:val="21"/>
          <w:szCs w:val="21"/>
          <w:highlight w:val="none"/>
        </w:rPr>
        <w:t>再单独参加或者与其他供应商另外组成联合体参加同一合同项下的采购活动。若该等情形被发现，其单独的投标和与此有关的联合体的投标均将被</w:t>
      </w:r>
      <w:r>
        <w:rPr>
          <w:rFonts w:hint="eastAsia" w:ascii="宋体" w:hAnsi="宋体" w:cs="宋体"/>
          <w:b/>
          <w:color w:val="auto"/>
          <w:sz w:val="21"/>
          <w:szCs w:val="21"/>
          <w:highlight w:val="none"/>
        </w:rPr>
        <w:t>拒绝</w:t>
      </w:r>
      <w:r>
        <w:rPr>
          <w:rFonts w:hint="eastAsia" w:ascii="宋体" w:hAnsi="宋体" w:cs="宋体"/>
          <w:color w:val="auto"/>
          <w:sz w:val="21"/>
          <w:szCs w:val="21"/>
          <w:highlight w:val="none"/>
        </w:rPr>
        <w:t>。</w:t>
      </w:r>
    </w:p>
    <w:p w14:paraId="2737379E">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4）联合体必须确定其中一方为投标的全权代表参加投标活动，并承担投标及履约活动中的全部责任与义务，且联合体各方无论是否实际参加、发生的情形怎样，一旦该联合体实际开始投标，联合体各方均应当就本次采购所引起或相关的任何或所有事项、义务、责任、损失等承担连带责任。</w:t>
      </w:r>
    </w:p>
    <w:p w14:paraId="7927F03F">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5）联合体中标后，合同应由各成员的合法授权代表签字并加盖各成员公章，以便对联合体成员作为整体和他们各自作为独立体均具有法律约束力，但若该等签字或公章不齐全或缺乏，该联合体的全权代表方的签署或类似的意思表示具有代表该联合体的签署或意思表示的法律效力，并且据此各成员为履行合同应向代理机构与采购人承担连带责任。</w:t>
      </w:r>
    </w:p>
    <w:p w14:paraId="2D3A47EC">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2.6响应人应按照谈判公告规定的方式获取</w:t>
      </w:r>
      <w:r>
        <w:rPr>
          <w:rFonts w:hint="eastAsia" w:cs="宋体" w:asciiTheme="majorEastAsia" w:hAnsiTheme="majorEastAsia" w:eastAsiaTheme="majorEastAsia"/>
          <w:color w:val="auto"/>
          <w:sz w:val="21"/>
          <w:szCs w:val="21"/>
          <w:highlight w:val="none"/>
        </w:rPr>
        <w:t>谈判文件</w:t>
      </w:r>
      <w:r>
        <w:rPr>
          <w:rFonts w:hint="eastAsia" w:ascii="宋体" w:hAnsi="宋体" w:cs="宋体"/>
          <w:color w:val="auto"/>
          <w:sz w:val="21"/>
          <w:szCs w:val="21"/>
          <w:highlight w:val="none"/>
        </w:rPr>
        <w:t>。</w:t>
      </w:r>
    </w:p>
    <w:p w14:paraId="26CA0842">
      <w:pPr>
        <w:spacing w:line="400" w:lineRule="exact"/>
        <w:rPr>
          <w:rFonts w:ascii="宋体" w:hAnsi="宋体" w:cs="宋体"/>
          <w:b/>
          <w:color w:val="auto"/>
          <w:sz w:val="21"/>
          <w:szCs w:val="21"/>
          <w:highlight w:val="none"/>
        </w:rPr>
      </w:pPr>
      <w:r>
        <w:rPr>
          <w:rFonts w:hint="eastAsia" w:ascii="宋体" w:hAnsi="宋体" w:cs="宋体"/>
          <w:b/>
          <w:color w:val="auto"/>
          <w:sz w:val="21"/>
          <w:szCs w:val="21"/>
          <w:highlight w:val="none"/>
        </w:rPr>
        <w:t>三、谈判费用</w:t>
      </w:r>
    </w:p>
    <w:p w14:paraId="304F9090">
      <w:pPr>
        <w:spacing w:line="400" w:lineRule="exact"/>
        <w:ind w:firstLine="420" w:firstLineChars="200"/>
        <w:rPr>
          <w:rFonts w:ascii="宋体" w:hAnsi="宋体" w:cs="宋体"/>
          <w:bCs/>
          <w:color w:val="auto"/>
          <w:sz w:val="21"/>
          <w:szCs w:val="21"/>
          <w:highlight w:val="none"/>
        </w:rPr>
      </w:pPr>
      <w:r>
        <w:rPr>
          <w:rFonts w:hint="eastAsia" w:ascii="宋体" w:hAnsi="宋体" w:cs="宋体"/>
          <w:bCs/>
          <w:color w:val="auto"/>
          <w:sz w:val="21"/>
          <w:szCs w:val="21"/>
          <w:highlight w:val="none"/>
        </w:rPr>
        <w:t>3.1响应人应自行承担其编制、提交响应文件以及参加谈判活动所产生之一切费用。无论谈判活动中的做法和结果如何(包括采购单位决定取消采购的)，采购人和</w:t>
      </w:r>
      <w:r>
        <w:rPr>
          <w:rFonts w:hint="eastAsia" w:ascii="宋体" w:hAnsi="宋体" w:cs="宋体"/>
          <w:color w:val="auto"/>
          <w:sz w:val="21"/>
          <w:szCs w:val="21"/>
          <w:highlight w:val="none"/>
        </w:rPr>
        <w:t>代理机构</w:t>
      </w:r>
      <w:r>
        <w:rPr>
          <w:rFonts w:hint="eastAsia" w:ascii="宋体" w:hAnsi="宋体" w:cs="宋体"/>
          <w:bCs/>
          <w:color w:val="auto"/>
          <w:sz w:val="21"/>
          <w:szCs w:val="21"/>
          <w:highlight w:val="none"/>
        </w:rPr>
        <w:t>对上述费用不负任何责任。</w:t>
      </w:r>
    </w:p>
    <w:p w14:paraId="22CBA26F">
      <w:pPr>
        <w:spacing w:line="400" w:lineRule="exact"/>
        <w:rPr>
          <w:rFonts w:ascii="宋体" w:hAnsi="宋体" w:cs="宋体"/>
          <w:b/>
          <w:color w:val="auto"/>
          <w:sz w:val="21"/>
          <w:szCs w:val="21"/>
          <w:highlight w:val="none"/>
        </w:rPr>
      </w:pPr>
      <w:r>
        <w:rPr>
          <w:rFonts w:hint="eastAsia" w:ascii="宋体" w:hAnsi="宋体" w:cs="宋体"/>
          <w:b/>
          <w:color w:val="auto"/>
          <w:sz w:val="21"/>
          <w:szCs w:val="21"/>
          <w:highlight w:val="none"/>
        </w:rPr>
        <w:t>四、谈判文件</w:t>
      </w:r>
    </w:p>
    <w:p w14:paraId="1D83F3B2">
      <w:pPr>
        <w:spacing w:line="400" w:lineRule="exact"/>
        <w:ind w:firstLine="420" w:firstLineChars="200"/>
        <w:rPr>
          <w:rFonts w:ascii="宋体" w:hAnsi="宋体" w:cs="宋体"/>
          <w:bCs/>
          <w:color w:val="auto"/>
          <w:sz w:val="21"/>
          <w:szCs w:val="21"/>
          <w:highlight w:val="none"/>
        </w:rPr>
      </w:pPr>
      <w:r>
        <w:rPr>
          <w:rFonts w:hint="eastAsia" w:ascii="宋体" w:hAnsi="宋体" w:cs="宋体"/>
          <w:bCs/>
          <w:color w:val="auto"/>
          <w:sz w:val="21"/>
          <w:szCs w:val="21"/>
          <w:highlight w:val="none"/>
        </w:rPr>
        <w:t>4.1谈判文件由下列六部分内容组成：</w:t>
      </w:r>
    </w:p>
    <w:p w14:paraId="6A912C92">
      <w:pPr>
        <w:snapToGrid w:val="0"/>
        <w:spacing w:line="400" w:lineRule="exact"/>
        <w:ind w:firstLine="630" w:firstLineChars="300"/>
        <w:rPr>
          <w:rFonts w:ascii="宋体" w:hAnsi="宋体" w:cs="宋体"/>
          <w:bCs/>
          <w:color w:val="auto"/>
          <w:sz w:val="21"/>
          <w:szCs w:val="21"/>
          <w:highlight w:val="none"/>
        </w:rPr>
      </w:pPr>
      <w:r>
        <w:rPr>
          <w:rFonts w:hint="eastAsia" w:ascii="宋体" w:hAnsi="宋体" w:cs="宋体"/>
          <w:bCs/>
          <w:color w:val="auto"/>
          <w:sz w:val="21"/>
          <w:szCs w:val="21"/>
          <w:highlight w:val="none"/>
        </w:rPr>
        <w:t xml:space="preserve">第一部分 采购邀请 </w:t>
      </w:r>
    </w:p>
    <w:p w14:paraId="26766E0F">
      <w:pPr>
        <w:snapToGrid w:val="0"/>
        <w:spacing w:line="400" w:lineRule="exact"/>
        <w:ind w:firstLine="630" w:firstLineChars="300"/>
        <w:rPr>
          <w:rFonts w:ascii="宋体" w:hAnsi="宋体" w:cs="宋体"/>
          <w:bCs/>
          <w:color w:val="auto"/>
          <w:sz w:val="21"/>
          <w:szCs w:val="21"/>
          <w:highlight w:val="none"/>
        </w:rPr>
      </w:pPr>
      <w:r>
        <w:rPr>
          <w:rFonts w:hint="eastAsia" w:ascii="宋体" w:hAnsi="宋体" w:cs="宋体"/>
          <w:bCs/>
          <w:color w:val="auto"/>
          <w:sz w:val="21"/>
          <w:szCs w:val="21"/>
          <w:highlight w:val="none"/>
        </w:rPr>
        <w:t>第二部分 响应人须知前附表</w:t>
      </w:r>
    </w:p>
    <w:p w14:paraId="72F46496">
      <w:pPr>
        <w:snapToGrid w:val="0"/>
        <w:spacing w:line="400" w:lineRule="exact"/>
        <w:ind w:firstLine="630" w:firstLineChars="300"/>
        <w:rPr>
          <w:rFonts w:ascii="宋体" w:hAnsi="宋体" w:cs="宋体"/>
          <w:bCs/>
          <w:color w:val="auto"/>
          <w:sz w:val="21"/>
          <w:szCs w:val="21"/>
          <w:highlight w:val="none"/>
        </w:rPr>
      </w:pPr>
      <w:r>
        <w:rPr>
          <w:rFonts w:hint="eastAsia" w:ascii="宋体" w:hAnsi="宋体" w:cs="宋体"/>
          <w:bCs/>
          <w:color w:val="auto"/>
          <w:sz w:val="21"/>
          <w:szCs w:val="21"/>
          <w:highlight w:val="none"/>
        </w:rPr>
        <w:t>第三部分 响应人须知</w:t>
      </w:r>
    </w:p>
    <w:p w14:paraId="0FD7A12C">
      <w:pPr>
        <w:snapToGrid w:val="0"/>
        <w:spacing w:line="400" w:lineRule="exact"/>
        <w:ind w:firstLine="630" w:firstLineChars="300"/>
        <w:rPr>
          <w:rFonts w:ascii="宋体" w:hAnsi="宋体" w:cs="宋体"/>
          <w:bCs/>
          <w:color w:val="auto"/>
          <w:sz w:val="21"/>
          <w:szCs w:val="21"/>
          <w:highlight w:val="none"/>
        </w:rPr>
      </w:pPr>
      <w:r>
        <w:rPr>
          <w:rFonts w:hint="eastAsia" w:ascii="宋体" w:hAnsi="宋体" w:cs="宋体"/>
          <w:bCs/>
          <w:color w:val="auto"/>
          <w:sz w:val="21"/>
          <w:szCs w:val="21"/>
          <w:highlight w:val="none"/>
        </w:rPr>
        <w:t>第四部分 项目需求</w:t>
      </w:r>
    </w:p>
    <w:p w14:paraId="34B48407">
      <w:pPr>
        <w:snapToGrid w:val="0"/>
        <w:spacing w:line="400" w:lineRule="exact"/>
        <w:ind w:firstLine="630" w:firstLineChars="300"/>
        <w:rPr>
          <w:rFonts w:ascii="宋体" w:hAnsi="宋体" w:cs="宋体"/>
          <w:bCs/>
          <w:color w:val="auto"/>
          <w:sz w:val="21"/>
          <w:szCs w:val="21"/>
          <w:highlight w:val="none"/>
        </w:rPr>
      </w:pPr>
      <w:r>
        <w:rPr>
          <w:rFonts w:hint="eastAsia" w:ascii="宋体" w:hAnsi="宋体" w:cs="宋体"/>
          <w:bCs/>
          <w:color w:val="auto"/>
          <w:sz w:val="21"/>
          <w:szCs w:val="21"/>
          <w:highlight w:val="none"/>
        </w:rPr>
        <w:t>第五部分 合同条款</w:t>
      </w:r>
    </w:p>
    <w:p w14:paraId="35A87132">
      <w:pPr>
        <w:snapToGrid w:val="0"/>
        <w:spacing w:line="400" w:lineRule="exact"/>
        <w:ind w:firstLine="630" w:firstLineChars="300"/>
        <w:rPr>
          <w:rFonts w:ascii="宋体" w:hAnsi="宋体" w:cs="宋体"/>
          <w:bCs/>
          <w:color w:val="auto"/>
          <w:sz w:val="21"/>
          <w:szCs w:val="21"/>
          <w:highlight w:val="none"/>
        </w:rPr>
      </w:pPr>
      <w:r>
        <w:rPr>
          <w:rFonts w:hint="eastAsia" w:ascii="宋体" w:hAnsi="宋体" w:cs="宋体"/>
          <w:bCs/>
          <w:color w:val="auto"/>
          <w:sz w:val="21"/>
          <w:szCs w:val="21"/>
          <w:highlight w:val="none"/>
        </w:rPr>
        <w:t>第六部分 响应文件格式</w:t>
      </w:r>
    </w:p>
    <w:p w14:paraId="5927A880">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4.2</w:t>
      </w:r>
      <w:r>
        <w:rPr>
          <w:rFonts w:hint="eastAsia" w:cs="宋体" w:asciiTheme="majorEastAsia" w:hAnsiTheme="majorEastAsia" w:eastAsiaTheme="majorEastAsia"/>
          <w:color w:val="auto"/>
          <w:sz w:val="21"/>
          <w:szCs w:val="21"/>
          <w:highlight w:val="none"/>
        </w:rPr>
        <w:t>谈判文件</w:t>
      </w:r>
      <w:r>
        <w:rPr>
          <w:rFonts w:hint="eastAsia" w:ascii="宋体" w:hAnsi="宋体" w:cs="宋体"/>
          <w:color w:val="auto"/>
          <w:sz w:val="21"/>
          <w:szCs w:val="21"/>
          <w:highlight w:val="none"/>
        </w:rPr>
        <w:t>的澄清和修正</w:t>
      </w:r>
    </w:p>
    <w:p w14:paraId="57449E3A">
      <w:pPr>
        <w:snapToGrid w:val="0"/>
        <w:spacing w:line="400" w:lineRule="exact"/>
        <w:ind w:firstLine="420" w:firstLineChars="200"/>
        <w:rPr>
          <w:rFonts w:ascii="宋体" w:hAnsi="宋体" w:cs="宋体"/>
          <w:bCs/>
          <w:color w:val="auto"/>
          <w:sz w:val="21"/>
          <w:szCs w:val="21"/>
          <w:highlight w:val="none"/>
        </w:rPr>
      </w:pPr>
      <w:r>
        <w:rPr>
          <w:rFonts w:hint="eastAsia" w:ascii="宋体" w:hAnsi="宋体" w:cs="宋体"/>
          <w:bCs/>
          <w:color w:val="auto"/>
          <w:sz w:val="21"/>
          <w:szCs w:val="21"/>
          <w:highlight w:val="none"/>
        </w:rPr>
        <w:t>（1）供应商应当在法定质疑期内一次性提出针对同一采购程序环节的质疑。</w:t>
      </w:r>
    </w:p>
    <w:p w14:paraId="75542DAB">
      <w:pPr>
        <w:snapToGrid w:val="0"/>
        <w:spacing w:line="400" w:lineRule="exact"/>
        <w:ind w:firstLine="420" w:firstLineChars="200"/>
        <w:rPr>
          <w:rFonts w:ascii="宋体" w:hAnsi="宋体" w:cs="宋体"/>
          <w:bCs/>
          <w:color w:val="auto"/>
          <w:sz w:val="21"/>
          <w:szCs w:val="21"/>
          <w:highlight w:val="none"/>
        </w:rPr>
      </w:pPr>
      <w:r>
        <w:rPr>
          <w:rFonts w:hint="eastAsia" w:ascii="宋体" w:hAnsi="宋体" w:cs="宋体"/>
          <w:bCs/>
          <w:color w:val="auto"/>
          <w:sz w:val="21"/>
          <w:szCs w:val="21"/>
          <w:highlight w:val="none"/>
        </w:rPr>
        <w:t>（2）响应人在收到</w:t>
      </w:r>
      <w:r>
        <w:rPr>
          <w:rFonts w:hint="eastAsia" w:cs="宋体" w:asciiTheme="majorEastAsia" w:hAnsiTheme="majorEastAsia" w:eastAsiaTheme="majorEastAsia"/>
          <w:color w:val="auto"/>
          <w:sz w:val="21"/>
          <w:szCs w:val="21"/>
          <w:highlight w:val="none"/>
        </w:rPr>
        <w:t>谈判文件</w:t>
      </w:r>
      <w:r>
        <w:rPr>
          <w:rFonts w:hint="eastAsia" w:ascii="宋体" w:hAnsi="宋体" w:cs="宋体"/>
          <w:bCs/>
          <w:color w:val="auto"/>
          <w:sz w:val="21"/>
          <w:szCs w:val="21"/>
          <w:highlight w:val="none"/>
        </w:rPr>
        <w:t>后，如有疑问需要澄清，应在答疑规定的时间前以书面形式向采购人提出，如无疑问,视作响应人完全响应</w:t>
      </w:r>
      <w:r>
        <w:rPr>
          <w:rFonts w:hint="eastAsia" w:cs="宋体" w:asciiTheme="majorEastAsia" w:hAnsiTheme="majorEastAsia" w:eastAsiaTheme="majorEastAsia"/>
          <w:color w:val="auto"/>
          <w:sz w:val="21"/>
          <w:szCs w:val="21"/>
          <w:highlight w:val="none"/>
        </w:rPr>
        <w:t>谈判文件</w:t>
      </w:r>
      <w:r>
        <w:rPr>
          <w:rFonts w:hint="eastAsia" w:ascii="宋体" w:hAnsi="宋体" w:cs="宋体"/>
          <w:bCs/>
          <w:color w:val="auto"/>
          <w:sz w:val="21"/>
          <w:szCs w:val="21"/>
          <w:highlight w:val="none"/>
        </w:rPr>
        <w:t>的条款和要求。采购人作出的澄清或修改将公告通知所有</w:t>
      </w:r>
      <w:r>
        <w:rPr>
          <w:rFonts w:hint="eastAsia" w:cs="宋体" w:asciiTheme="majorEastAsia" w:hAnsiTheme="majorEastAsia" w:eastAsiaTheme="majorEastAsia"/>
          <w:color w:val="auto"/>
          <w:sz w:val="21"/>
          <w:szCs w:val="21"/>
          <w:highlight w:val="none"/>
        </w:rPr>
        <w:t>谈判文件</w:t>
      </w:r>
      <w:r>
        <w:rPr>
          <w:rFonts w:hint="eastAsia" w:ascii="宋体" w:hAnsi="宋体" w:cs="宋体"/>
          <w:bCs/>
          <w:color w:val="auto"/>
          <w:sz w:val="21"/>
          <w:szCs w:val="21"/>
          <w:highlight w:val="none"/>
        </w:rPr>
        <w:t>收受人。</w:t>
      </w:r>
    </w:p>
    <w:p w14:paraId="7779D72B">
      <w:pPr>
        <w:snapToGrid w:val="0"/>
        <w:spacing w:line="400" w:lineRule="exact"/>
        <w:ind w:firstLine="420" w:firstLineChars="200"/>
        <w:rPr>
          <w:rFonts w:ascii="宋体" w:hAnsi="宋体" w:cs="宋体"/>
          <w:bCs/>
          <w:color w:val="auto"/>
          <w:sz w:val="21"/>
          <w:szCs w:val="21"/>
          <w:highlight w:val="none"/>
        </w:rPr>
      </w:pPr>
      <w:r>
        <w:rPr>
          <w:rFonts w:hint="eastAsia" w:ascii="宋体" w:hAnsi="宋体" w:cs="宋体"/>
          <w:bCs/>
          <w:color w:val="auto"/>
          <w:sz w:val="21"/>
          <w:szCs w:val="21"/>
          <w:highlight w:val="none"/>
        </w:rPr>
        <w:t>（3）采购人或采购代理机构无论出于自己的考虑，还是出于对响应人提问的澄清，均可对</w:t>
      </w:r>
      <w:r>
        <w:rPr>
          <w:rFonts w:hint="eastAsia" w:cs="宋体" w:asciiTheme="majorEastAsia" w:hAnsiTheme="majorEastAsia" w:eastAsiaTheme="majorEastAsia"/>
          <w:color w:val="auto"/>
          <w:sz w:val="21"/>
          <w:szCs w:val="21"/>
          <w:highlight w:val="none"/>
        </w:rPr>
        <w:t>谈判文件</w:t>
      </w:r>
      <w:r>
        <w:rPr>
          <w:rFonts w:hint="eastAsia" w:ascii="宋体" w:hAnsi="宋体" w:cs="宋体"/>
          <w:bCs/>
          <w:color w:val="auto"/>
          <w:sz w:val="21"/>
          <w:szCs w:val="21"/>
          <w:highlight w:val="none"/>
        </w:rPr>
        <w:t>用更正公告的方式进行修改。</w:t>
      </w:r>
    </w:p>
    <w:p w14:paraId="2A9EB55C">
      <w:pPr>
        <w:snapToGrid w:val="0"/>
        <w:spacing w:line="400" w:lineRule="exact"/>
        <w:ind w:firstLine="420" w:firstLineChars="200"/>
        <w:rPr>
          <w:rFonts w:ascii="宋体" w:hAnsi="宋体" w:cs="宋体"/>
          <w:bCs/>
          <w:color w:val="auto"/>
          <w:sz w:val="21"/>
          <w:szCs w:val="21"/>
          <w:highlight w:val="none"/>
        </w:rPr>
      </w:pPr>
      <w:r>
        <w:rPr>
          <w:rFonts w:hint="eastAsia" w:ascii="宋体" w:hAnsi="宋体" w:cs="宋体"/>
          <w:bCs/>
          <w:color w:val="auto"/>
          <w:sz w:val="21"/>
          <w:szCs w:val="21"/>
          <w:highlight w:val="none"/>
        </w:rPr>
        <w:t>（4）</w:t>
      </w:r>
      <w:r>
        <w:rPr>
          <w:rFonts w:hint="eastAsia" w:cs="宋体" w:asciiTheme="majorEastAsia" w:hAnsiTheme="majorEastAsia" w:eastAsiaTheme="majorEastAsia"/>
          <w:color w:val="auto"/>
          <w:sz w:val="21"/>
          <w:szCs w:val="21"/>
          <w:highlight w:val="none"/>
        </w:rPr>
        <w:t>谈判文件</w:t>
      </w:r>
      <w:r>
        <w:rPr>
          <w:rFonts w:hint="eastAsia" w:ascii="宋体" w:hAnsi="宋体" w:cs="宋体"/>
          <w:bCs/>
          <w:color w:val="auto"/>
          <w:sz w:val="21"/>
          <w:szCs w:val="21"/>
          <w:highlight w:val="none"/>
        </w:rPr>
        <w:t>及</w:t>
      </w:r>
      <w:r>
        <w:rPr>
          <w:rFonts w:hint="eastAsia" w:cs="宋体" w:asciiTheme="majorEastAsia" w:hAnsiTheme="majorEastAsia" w:eastAsiaTheme="majorEastAsia"/>
          <w:color w:val="auto"/>
          <w:sz w:val="21"/>
          <w:szCs w:val="21"/>
          <w:highlight w:val="none"/>
        </w:rPr>
        <w:t>谈判文件</w:t>
      </w:r>
      <w:r>
        <w:rPr>
          <w:rFonts w:hint="eastAsia" w:ascii="宋体" w:hAnsi="宋体" w:cs="宋体"/>
          <w:bCs/>
          <w:color w:val="auto"/>
          <w:sz w:val="21"/>
          <w:szCs w:val="21"/>
          <w:highlight w:val="none"/>
        </w:rPr>
        <w:t>的澄清、修改、补充等内容均以金坛教育服务网发布的内容为准。</w:t>
      </w:r>
    </w:p>
    <w:p w14:paraId="76CCE585">
      <w:pPr>
        <w:snapToGrid w:val="0"/>
        <w:spacing w:line="400" w:lineRule="exact"/>
        <w:ind w:firstLine="420" w:firstLineChars="200"/>
        <w:rPr>
          <w:rFonts w:ascii="宋体" w:hAnsi="宋体" w:cs="宋体"/>
          <w:bCs/>
          <w:color w:val="auto"/>
          <w:sz w:val="21"/>
          <w:szCs w:val="21"/>
          <w:highlight w:val="none"/>
        </w:rPr>
      </w:pPr>
      <w:r>
        <w:rPr>
          <w:rFonts w:hint="eastAsia" w:ascii="宋体" w:hAnsi="宋体" w:cs="宋体"/>
          <w:bCs/>
          <w:color w:val="auto"/>
          <w:sz w:val="21"/>
          <w:szCs w:val="21"/>
          <w:highlight w:val="none"/>
        </w:rPr>
        <w:t>（5）</w:t>
      </w:r>
      <w:r>
        <w:rPr>
          <w:rFonts w:hint="eastAsia" w:cs="宋体" w:asciiTheme="majorEastAsia" w:hAnsiTheme="majorEastAsia" w:eastAsiaTheme="majorEastAsia"/>
          <w:color w:val="auto"/>
          <w:sz w:val="21"/>
          <w:szCs w:val="21"/>
          <w:highlight w:val="none"/>
        </w:rPr>
        <w:t>谈判文件</w:t>
      </w:r>
      <w:r>
        <w:rPr>
          <w:rFonts w:hint="eastAsia" w:ascii="宋体" w:hAnsi="宋体" w:cs="宋体"/>
          <w:bCs/>
          <w:color w:val="auto"/>
          <w:sz w:val="21"/>
          <w:szCs w:val="21"/>
          <w:highlight w:val="none"/>
        </w:rPr>
        <w:t>的更正（含澄清、修改等）内容与原</w:t>
      </w:r>
      <w:r>
        <w:rPr>
          <w:rFonts w:hint="eastAsia" w:cs="宋体" w:asciiTheme="majorEastAsia" w:hAnsiTheme="majorEastAsia" w:eastAsiaTheme="majorEastAsia"/>
          <w:color w:val="auto"/>
          <w:sz w:val="21"/>
          <w:szCs w:val="21"/>
          <w:highlight w:val="none"/>
        </w:rPr>
        <w:t>谈判文件</w:t>
      </w:r>
      <w:r>
        <w:rPr>
          <w:rFonts w:hint="eastAsia" w:ascii="宋体" w:hAnsi="宋体" w:cs="宋体"/>
          <w:bCs/>
          <w:color w:val="auto"/>
          <w:sz w:val="21"/>
          <w:szCs w:val="21"/>
          <w:highlight w:val="none"/>
        </w:rPr>
        <w:t>在同一内容上表述不一致时，以发出日期最接近开标时间的公告为准。</w:t>
      </w:r>
      <w:r>
        <w:rPr>
          <w:rFonts w:hint="eastAsia" w:cs="宋体" w:asciiTheme="majorEastAsia" w:hAnsiTheme="majorEastAsia" w:eastAsiaTheme="majorEastAsia"/>
          <w:color w:val="auto"/>
          <w:sz w:val="21"/>
          <w:szCs w:val="21"/>
          <w:highlight w:val="none"/>
        </w:rPr>
        <w:t>谈判文件</w:t>
      </w:r>
      <w:r>
        <w:rPr>
          <w:rFonts w:hint="eastAsia" w:ascii="宋体" w:hAnsi="宋体" w:cs="宋体"/>
          <w:bCs/>
          <w:color w:val="auto"/>
          <w:sz w:val="21"/>
          <w:szCs w:val="21"/>
          <w:highlight w:val="none"/>
        </w:rPr>
        <w:t>的更正（含澄清、修改等）内容将在金坛教育服务网上发布，作为</w:t>
      </w:r>
      <w:r>
        <w:rPr>
          <w:rFonts w:hint="eastAsia" w:cs="宋体" w:asciiTheme="majorEastAsia" w:hAnsiTheme="majorEastAsia" w:eastAsiaTheme="majorEastAsia"/>
          <w:color w:val="auto"/>
          <w:sz w:val="21"/>
          <w:szCs w:val="21"/>
          <w:highlight w:val="none"/>
        </w:rPr>
        <w:t>谈判文件</w:t>
      </w:r>
      <w:r>
        <w:rPr>
          <w:rFonts w:hint="eastAsia" w:ascii="宋体" w:hAnsi="宋体" w:cs="宋体"/>
          <w:bCs/>
          <w:color w:val="auto"/>
          <w:sz w:val="21"/>
          <w:szCs w:val="21"/>
          <w:highlight w:val="none"/>
        </w:rPr>
        <w:t>的组成部分，对响应人起约束作用。</w:t>
      </w:r>
    </w:p>
    <w:p w14:paraId="414143EB">
      <w:pPr>
        <w:spacing w:line="400" w:lineRule="exact"/>
        <w:rPr>
          <w:rFonts w:ascii="宋体" w:hAnsi="宋体" w:cs="宋体"/>
          <w:b/>
          <w:color w:val="auto"/>
          <w:sz w:val="21"/>
          <w:szCs w:val="21"/>
          <w:highlight w:val="none"/>
        </w:rPr>
      </w:pPr>
      <w:r>
        <w:rPr>
          <w:rFonts w:hint="eastAsia" w:ascii="宋体" w:hAnsi="宋体" w:cs="宋体"/>
          <w:b/>
          <w:color w:val="auto"/>
          <w:sz w:val="21"/>
          <w:szCs w:val="21"/>
          <w:highlight w:val="none"/>
        </w:rPr>
        <w:t>五、响应人的义务</w:t>
      </w:r>
    </w:p>
    <w:p w14:paraId="69526FC0">
      <w:pPr>
        <w:snapToGrid w:val="0"/>
        <w:spacing w:line="400" w:lineRule="exact"/>
        <w:ind w:firstLine="420" w:firstLineChars="200"/>
        <w:rPr>
          <w:rFonts w:ascii="宋体" w:hAnsi="宋体" w:cs="宋体"/>
          <w:bCs/>
          <w:color w:val="auto"/>
          <w:sz w:val="21"/>
          <w:szCs w:val="21"/>
          <w:highlight w:val="none"/>
        </w:rPr>
      </w:pPr>
      <w:r>
        <w:rPr>
          <w:rFonts w:hint="eastAsia" w:ascii="宋体" w:hAnsi="宋体" w:cs="宋体"/>
          <w:bCs/>
          <w:color w:val="auto"/>
          <w:sz w:val="21"/>
          <w:szCs w:val="21"/>
          <w:highlight w:val="none"/>
        </w:rPr>
        <w:t>5.1响应人应当认真阅读</w:t>
      </w:r>
      <w:r>
        <w:rPr>
          <w:rFonts w:hint="eastAsia" w:cs="宋体" w:asciiTheme="majorEastAsia" w:hAnsiTheme="majorEastAsia" w:eastAsiaTheme="majorEastAsia"/>
          <w:color w:val="auto"/>
          <w:sz w:val="21"/>
          <w:szCs w:val="21"/>
          <w:highlight w:val="none"/>
        </w:rPr>
        <w:t>谈判文件</w:t>
      </w:r>
      <w:r>
        <w:rPr>
          <w:rFonts w:hint="eastAsia" w:ascii="宋体" w:hAnsi="宋体" w:cs="宋体"/>
          <w:bCs/>
          <w:color w:val="auto"/>
          <w:sz w:val="21"/>
          <w:szCs w:val="21"/>
          <w:highlight w:val="none"/>
        </w:rPr>
        <w:t>，完全明了采购项目之名称、用途、数量、质量和交货日期，完全明了响应人所应具备的资格条件。</w:t>
      </w:r>
    </w:p>
    <w:p w14:paraId="619CA8FD">
      <w:pPr>
        <w:snapToGrid w:val="0"/>
        <w:spacing w:line="400" w:lineRule="exact"/>
        <w:ind w:firstLine="420" w:firstLineChars="200"/>
        <w:rPr>
          <w:rFonts w:ascii="宋体" w:hAnsi="宋体" w:cs="宋体"/>
          <w:bCs/>
          <w:color w:val="auto"/>
          <w:sz w:val="21"/>
          <w:szCs w:val="21"/>
          <w:highlight w:val="none"/>
        </w:rPr>
      </w:pPr>
      <w:r>
        <w:rPr>
          <w:rFonts w:hint="eastAsia" w:ascii="宋体" w:hAnsi="宋体" w:cs="宋体"/>
          <w:bCs/>
          <w:color w:val="auto"/>
          <w:sz w:val="21"/>
          <w:szCs w:val="21"/>
          <w:highlight w:val="none"/>
        </w:rPr>
        <w:t>5.2响应人应当按照</w:t>
      </w:r>
      <w:r>
        <w:rPr>
          <w:rFonts w:hint="eastAsia" w:cs="宋体" w:asciiTheme="majorEastAsia" w:hAnsiTheme="majorEastAsia" w:eastAsiaTheme="majorEastAsia"/>
          <w:color w:val="auto"/>
          <w:sz w:val="21"/>
          <w:szCs w:val="21"/>
          <w:highlight w:val="none"/>
        </w:rPr>
        <w:t>谈判文件</w:t>
      </w:r>
      <w:r>
        <w:rPr>
          <w:rFonts w:hint="eastAsia" w:ascii="宋体" w:hAnsi="宋体" w:cs="宋体"/>
          <w:bCs/>
          <w:color w:val="auto"/>
          <w:sz w:val="21"/>
          <w:szCs w:val="21"/>
          <w:highlight w:val="none"/>
        </w:rPr>
        <w:t>的要求编制响应文件。响应文件应对</w:t>
      </w:r>
      <w:r>
        <w:rPr>
          <w:rFonts w:hint="eastAsia" w:cs="宋体" w:asciiTheme="majorEastAsia" w:hAnsiTheme="majorEastAsia" w:eastAsiaTheme="majorEastAsia"/>
          <w:color w:val="auto"/>
          <w:sz w:val="21"/>
          <w:szCs w:val="21"/>
          <w:highlight w:val="none"/>
        </w:rPr>
        <w:t>谈判文件</w:t>
      </w:r>
      <w:r>
        <w:rPr>
          <w:rFonts w:hint="eastAsia" w:ascii="宋体" w:hAnsi="宋体" w:cs="宋体"/>
          <w:bCs/>
          <w:color w:val="auto"/>
          <w:sz w:val="21"/>
          <w:szCs w:val="21"/>
          <w:highlight w:val="none"/>
        </w:rPr>
        <w:t>提出的实质性要求和条件作出完全响应。</w:t>
      </w:r>
    </w:p>
    <w:p w14:paraId="279CC3D1">
      <w:pPr>
        <w:snapToGrid w:val="0"/>
        <w:spacing w:line="400" w:lineRule="exact"/>
        <w:ind w:firstLine="420" w:firstLineChars="200"/>
        <w:rPr>
          <w:rFonts w:ascii="宋体" w:hAnsi="宋体" w:cs="宋体"/>
          <w:bCs/>
          <w:color w:val="auto"/>
          <w:sz w:val="21"/>
          <w:szCs w:val="21"/>
          <w:highlight w:val="none"/>
        </w:rPr>
      </w:pPr>
      <w:r>
        <w:rPr>
          <w:rFonts w:hint="eastAsia" w:ascii="宋体" w:hAnsi="宋体" w:cs="宋体"/>
          <w:bCs/>
          <w:color w:val="auto"/>
          <w:sz w:val="21"/>
          <w:szCs w:val="21"/>
          <w:highlight w:val="none"/>
        </w:rPr>
        <w:t>5.3响应人应在响应文件提交截止时间前，将密封的响应文件送达指定地点。</w:t>
      </w:r>
    </w:p>
    <w:p w14:paraId="5127B942">
      <w:pPr>
        <w:snapToGrid w:val="0"/>
        <w:spacing w:line="400" w:lineRule="exact"/>
        <w:ind w:firstLine="420" w:firstLineChars="200"/>
        <w:rPr>
          <w:rFonts w:ascii="宋体" w:hAnsi="宋体" w:cs="宋体"/>
          <w:bCs/>
          <w:color w:val="auto"/>
          <w:sz w:val="21"/>
          <w:szCs w:val="21"/>
          <w:highlight w:val="none"/>
        </w:rPr>
      </w:pPr>
      <w:r>
        <w:rPr>
          <w:rFonts w:hint="eastAsia" w:ascii="宋体" w:hAnsi="宋体" w:cs="宋体"/>
          <w:bCs/>
          <w:color w:val="auto"/>
          <w:sz w:val="21"/>
          <w:szCs w:val="21"/>
          <w:highlight w:val="none"/>
        </w:rPr>
        <w:t>5.4响应人不得相互串通谈判报价，不得排挤其他响应人的公平竞争，损害采购人或者其他响应人合法权益。响应人不得与采购人串通，损害国家利益，公众利益或者他人的合法权益。</w:t>
      </w:r>
    </w:p>
    <w:p w14:paraId="387489BF">
      <w:pPr>
        <w:snapToGrid w:val="0"/>
        <w:spacing w:line="400" w:lineRule="exact"/>
        <w:ind w:firstLine="420" w:firstLineChars="200"/>
        <w:rPr>
          <w:rFonts w:ascii="宋体" w:hAnsi="宋体" w:cs="宋体"/>
          <w:bCs/>
          <w:color w:val="auto"/>
          <w:sz w:val="21"/>
          <w:szCs w:val="21"/>
          <w:highlight w:val="none"/>
        </w:rPr>
      </w:pPr>
      <w:r>
        <w:rPr>
          <w:rFonts w:hint="eastAsia" w:ascii="宋体" w:hAnsi="宋体" w:cs="宋体"/>
          <w:bCs/>
          <w:color w:val="auto"/>
          <w:sz w:val="21"/>
          <w:szCs w:val="21"/>
          <w:highlight w:val="none"/>
        </w:rPr>
        <w:t>5.5响应人在响应文件提交截止时间前，对所提交的响应文件可以补充、修改或者撤回，并书面通知代理机构。补充、修改的内容为响应文件的组成部分。</w:t>
      </w:r>
    </w:p>
    <w:p w14:paraId="3A7653C5">
      <w:pPr>
        <w:snapToGrid w:val="0"/>
        <w:spacing w:line="400" w:lineRule="exact"/>
        <w:rPr>
          <w:rFonts w:ascii="宋体" w:hAnsi="宋体" w:cs="宋体"/>
          <w:b/>
          <w:color w:val="auto"/>
          <w:sz w:val="21"/>
          <w:szCs w:val="21"/>
          <w:highlight w:val="none"/>
        </w:rPr>
      </w:pPr>
      <w:bookmarkStart w:id="9" w:name="_Toc288738405"/>
      <w:bookmarkStart w:id="10" w:name="_Toc288738331"/>
      <w:bookmarkStart w:id="11" w:name="_Toc288738799"/>
      <w:r>
        <w:rPr>
          <w:rFonts w:hint="eastAsia" w:ascii="宋体" w:hAnsi="宋体" w:cs="宋体"/>
          <w:b/>
          <w:color w:val="auto"/>
          <w:sz w:val="21"/>
          <w:szCs w:val="21"/>
          <w:highlight w:val="none"/>
        </w:rPr>
        <w:t>六、响应文件组成</w:t>
      </w:r>
      <w:bookmarkEnd w:id="9"/>
      <w:bookmarkEnd w:id="10"/>
      <w:bookmarkEnd w:id="11"/>
      <w:r>
        <w:rPr>
          <w:rFonts w:hint="eastAsia" w:ascii="宋体" w:hAnsi="宋体" w:cs="宋体"/>
          <w:b/>
          <w:color w:val="auto"/>
          <w:sz w:val="21"/>
          <w:szCs w:val="21"/>
          <w:highlight w:val="none"/>
        </w:rPr>
        <w:t>及相关要求</w:t>
      </w:r>
    </w:p>
    <w:p w14:paraId="2746B340">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6.1响应文件应当符合</w:t>
      </w:r>
      <w:r>
        <w:rPr>
          <w:rFonts w:hint="eastAsia" w:cs="宋体" w:asciiTheme="majorEastAsia" w:hAnsiTheme="majorEastAsia" w:eastAsiaTheme="majorEastAsia"/>
          <w:color w:val="auto"/>
          <w:sz w:val="21"/>
          <w:szCs w:val="21"/>
          <w:highlight w:val="none"/>
        </w:rPr>
        <w:t>谈判文件</w:t>
      </w:r>
      <w:r>
        <w:rPr>
          <w:rFonts w:hint="eastAsia" w:ascii="宋体" w:hAnsi="宋体" w:cs="宋体"/>
          <w:color w:val="auto"/>
          <w:sz w:val="21"/>
          <w:szCs w:val="21"/>
          <w:highlight w:val="none"/>
        </w:rPr>
        <w:t>的要求，并应包括但不限于下列内容。</w:t>
      </w:r>
    </w:p>
    <w:p w14:paraId="4B903BCA">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6.1.1响应文件编写</w:t>
      </w:r>
    </w:p>
    <w:p w14:paraId="1FAADB29">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（1）按照</w:t>
      </w:r>
      <w:r>
        <w:rPr>
          <w:rFonts w:hint="eastAsia" w:cs="宋体" w:asciiTheme="majorEastAsia" w:hAnsiTheme="majorEastAsia" w:eastAsiaTheme="majorEastAsia"/>
          <w:color w:val="auto"/>
          <w:sz w:val="21"/>
          <w:szCs w:val="21"/>
          <w:highlight w:val="none"/>
        </w:rPr>
        <w:t>谈判文件</w:t>
      </w:r>
      <w:r>
        <w:rPr>
          <w:rFonts w:hint="eastAsia" w:ascii="宋体" w:hAnsi="宋体" w:cs="宋体"/>
          <w:color w:val="auto"/>
          <w:sz w:val="21"/>
          <w:szCs w:val="21"/>
          <w:highlight w:val="none"/>
        </w:rPr>
        <w:t>中相关要求，统一编目编码并编制目录。由于编排混乱导致响应文件被误读或查找不到，责任应当由响应人承担。</w:t>
      </w:r>
    </w:p>
    <w:p w14:paraId="10103A04">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（2）响应人应详细阅读</w:t>
      </w:r>
      <w:r>
        <w:rPr>
          <w:rFonts w:hint="eastAsia" w:cs="宋体" w:asciiTheme="majorEastAsia" w:hAnsiTheme="majorEastAsia" w:eastAsiaTheme="majorEastAsia"/>
          <w:color w:val="auto"/>
          <w:sz w:val="21"/>
          <w:szCs w:val="21"/>
          <w:highlight w:val="none"/>
        </w:rPr>
        <w:t>谈判文件</w:t>
      </w:r>
      <w:r>
        <w:rPr>
          <w:rFonts w:hint="eastAsia" w:ascii="宋体" w:hAnsi="宋体" w:cs="宋体"/>
          <w:color w:val="auto"/>
          <w:sz w:val="21"/>
          <w:szCs w:val="21"/>
          <w:highlight w:val="none"/>
        </w:rPr>
        <w:t>的全部内容。响应文件须对</w:t>
      </w:r>
      <w:r>
        <w:rPr>
          <w:rFonts w:hint="eastAsia" w:cs="宋体" w:asciiTheme="majorEastAsia" w:hAnsiTheme="majorEastAsia" w:eastAsiaTheme="majorEastAsia"/>
          <w:color w:val="auto"/>
          <w:sz w:val="21"/>
          <w:szCs w:val="21"/>
          <w:highlight w:val="none"/>
        </w:rPr>
        <w:t>谈判文件</w:t>
      </w:r>
      <w:r>
        <w:rPr>
          <w:rFonts w:hint="eastAsia" w:ascii="宋体" w:hAnsi="宋体" w:cs="宋体"/>
          <w:color w:val="auto"/>
          <w:sz w:val="21"/>
          <w:szCs w:val="21"/>
          <w:highlight w:val="none"/>
        </w:rPr>
        <w:t>中的内容做出实质性和完整的响应，如果响应文件填报的内容资料不详，或没有提供</w:t>
      </w:r>
      <w:r>
        <w:rPr>
          <w:rFonts w:hint="eastAsia" w:cs="宋体" w:asciiTheme="majorEastAsia" w:hAnsiTheme="majorEastAsia" w:eastAsiaTheme="majorEastAsia"/>
          <w:color w:val="auto"/>
          <w:sz w:val="21"/>
          <w:szCs w:val="21"/>
          <w:highlight w:val="none"/>
        </w:rPr>
        <w:t>谈判文件</w:t>
      </w:r>
      <w:r>
        <w:rPr>
          <w:rFonts w:hint="eastAsia" w:ascii="宋体" w:hAnsi="宋体" w:cs="宋体"/>
          <w:color w:val="auto"/>
          <w:sz w:val="21"/>
          <w:szCs w:val="21"/>
          <w:highlight w:val="none"/>
        </w:rPr>
        <w:t>中所要求的全部资料及数据，将被视为响应文件完整性有缺陷。</w:t>
      </w:r>
    </w:p>
    <w:p w14:paraId="789AF1CA">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（3）除可填报内容外，对响应函内容的任何实质性修改将被视为非实质性响应投标，该响应将被拒绝。</w:t>
      </w:r>
    </w:p>
    <w:p w14:paraId="5AD45F51">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（4）响应文件应按照</w:t>
      </w:r>
      <w:r>
        <w:rPr>
          <w:rFonts w:hint="eastAsia" w:cs="宋体" w:asciiTheme="majorEastAsia" w:hAnsiTheme="majorEastAsia" w:eastAsiaTheme="majorEastAsia"/>
          <w:color w:val="auto"/>
          <w:sz w:val="21"/>
          <w:szCs w:val="21"/>
          <w:highlight w:val="none"/>
        </w:rPr>
        <w:t>谈判文件</w:t>
      </w:r>
      <w:r>
        <w:rPr>
          <w:rFonts w:hint="eastAsia" w:ascii="宋体" w:hAnsi="宋体" w:cs="宋体"/>
          <w:color w:val="auto"/>
          <w:sz w:val="21"/>
          <w:szCs w:val="21"/>
          <w:highlight w:val="none"/>
        </w:rPr>
        <w:t>的格式逐项填写，无相应内容可填的项应填写“无”、“未测试”、“没有相应指标”等明确的回答文字。</w:t>
      </w:r>
    </w:p>
    <w:p w14:paraId="0B12D6B9">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（5）响应人必须保证</w:t>
      </w:r>
      <w:r>
        <w:rPr>
          <w:rFonts w:hint="eastAsia" w:cs="宋体" w:asciiTheme="majorEastAsia" w:hAnsiTheme="majorEastAsia" w:eastAsiaTheme="majorEastAsia"/>
          <w:color w:val="auto"/>
          <w:sz w:val="21"/>
          <w:szCs w:val="21"/>
          <w:highlight w:val="none"/>
        </w:rPr>
        <w:t>谈判文件</w:t>
      </w:r>
      <w:r>
        <w:rPr>
          <w:rFonts w:hint="eastAsia" w:ascii="宋体" w:hAnsi="宋体" w:cs="宋体"/>
          <w:color w:val="auto"/>
          <w:sz w:val="21"/>
          <w:szCs w:val="21"/>
          <w:highlight w:val="none"/>
        </w:rPr>
        <w:t>所提供的全部资料真实可靠。</w:t>
      </w:r>
    </w:p>
    <w:p w14:paraId="4695D093">
      <w:pPr>
        <w:snapToGrid w:val="0"/>
        <w:spacing w:line="400" w:lineRule="exact"/>
        <w:ind w:firstLine="420" w:firstLineChars="200"/>
        <w:rPr>
          <w:rFonts w:ascii="宋体" w:hAnsi="宋体" w:cs="宋体"/>
          <w:color w:val="auto"/>
          <w:sz w:val="21"/>
          <w:szCs w:val="21"/>
          <w:highlight w:val="none"/>
        </w:rPr>
      </w:pPr>
      <w:bookmarkStart w:id="12" w:name="_Toc288738406"/>
      <w:bookmarkStart w:id="13" w:name="_Toc288738800"/>
      <w:bookmarkStart w:id="14" w:name="_Toc288738332"/>
      <w:r>
        <w:rPr>
          <w:rFonts w:hint="eastAsia" w:ascii="宋体" w:hAnsi="宋体" w:cs="宋体"/>
          <w:color w:val="auto"/>
          <w:sz w:val="21"/>
          <w:szCs w:val="21"/>
          <w:highlight w:val="none"/>
        </w:rPr>
        <w:t>6.2响应文件构成</w:t>
      </w:r>
    </w:p>
    <w:p w14:paraId="0FF68DA7">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（1）响应函；</w:t>
      </w:r>
    </w:p>
    <w:p w14:paraId="4AF233B5">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（2）法定代表人资格证明书；</w:t>
      </w:r>
    </w:p>
    <w:p w14:paraId="2E48EF3D">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（3）授权委托书；</w:t>
      </w:r>
    </w:p>
    <w:p w14:paraId="6393342E">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w:t>
      </w:r>
      <w:r>
        <w:rPr>
          <w:rFonts w:ascii="宋体" w:hAnsi="宋体" w:cs="宋体"/>
          <w:color w:val="auto"/>
          <w:sz w:val="21"/>
          <w:szCs w:val="21"/>
          <w:highlight w:val="none"/>
        </w:rPr>
        <w:t>4</w:t>
      </w:r>
      <w:r>
        <w:rPr>
          <w:rFonts w:hint="eastAsia" w:ascii="宋体" w:hAnsi="宋体" w:cs="宋体"/>
          <w:color w:val="auto"/>
          <w:sz w:val="21"/>
          <w:szCs w:val="21"/>
          <w:highlight w:val="none"/>
        </w:rPr>
        <w:t>）报价一览表；</w:t>
      </w:r>
    </w:p>
    <w:p w14:paraId="4EB09A45">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w:t>
      </w:r>
      <w:r>
        <w:rPr>
          <w:rFonts w:ascii="宋体" w:hAnsi="宋体" w:cs="宋体"/>
          <w:color w:val="auto"/>
          <w:sz w:val="21"/>
          <w:szCs w:val="21"/>
          <w:highlight w:val="none"/>
        </w:rPr>
        <w:t>5</w:t>
      </w:r>
      <w:r>
        <w:rPr>
          <w:rFonts w:hint="eastAsia" w:ascii="宋体" w:hAnsi="宋体" w:cs="宋体"/>
          <w:color w:val="auto"/>
          <w:sz w:val="21"/>
          <w:szCs w:val="21"/>
          <w:highlight w:val="none"/>
        </w:rPr>
        <w:t>）投标供应商信用承诺书；</w:t>
      </w:r>
    </w:p>
    <w:p w14:paraId="33E221FF">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w:t>
      </w:r>
      <w:r>
        <w:rPr>
          <w:rFonts w:ascii="宋体" w:hAnsi="宋体" w:cs="宋体"/>
          <w:color w:val="auto"/>
          <w:sz w:val="21"/>
          <w:szCs w:val="21"/>
          <w:highlight w:val="none"/>
        </w:rPr>
        <w:t>6</w:t>
      </w:r>
      <w:r>
        <w:rPr>
          <w:rFonts w:hint="eastAsia" w:ascii="宋体" w:hAnsi="宋体" w:cs="宋体"/>
          <w:color w:val="auto"/>
          <w:sz w:val="21"/>
          <w:szCs w:val="21"/>
          <w:highlight w:val="none"/>
        </w:rPr>
        <w:t>）响应人基本资格条件承诺书；</w:t>
      </w:r>
    </w:p>
    <w:p w14:paraId="4D3E9441">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（7）响应人认为需要提供的其他说明和资料。</w:t>
      </w:r>
    </w:p>
    <w:p w14:paraId="4E34F535">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6.3响应报价：</w:t>
      </w:r>
    </w:p>
    <w:p w14:paraId="59E58940">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1）所有投标报价均以人民币元为计算单位。只要投报了一个确定数额的总价，无论分项价格是否全部填报了相应的金额或免费字样，报价应被视为已经包含了但并不限于各项购买货物及其保管、运送、安装、调试、验收、保险和相关服务等的费用和所需缴纳的所有价格、税、费。在其他情况下，由于分项报价填报不完整、不清楚或存在其他任何失误，所导致的任何不利后果均应当由响应人自行承担。</w:t>
      </w:r>
    </w:p>
    <w:p w14:paraId="5277EADF">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（2）响应人投报多包的，应对每包分别报价并分别填报报价一览表。</w:t>
      </w:r>
    </w:p>
    <w:p w14:paraId="6D0016C1">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（3）响应人应按第六部分项报价明细表的内容填写货物总价及其他事项。报价一览表中价格填报处不应有空白，如无费用可填报“/”。</w:t>
      </w:r>
    </w:p>
    <w:p w14:paraId="7225FE49">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（4）响应人对投标报价若有说明应在报价一览表显著处注明。</w:t>
      </w:r>
    </w:p>
    <w:p w14:paraId="4EAF956E">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（5）投标的报价优惠应对应报价一览表、分项报价明细表等提供相应的明细清单。除报价优惠外，任何超出</w:t>
      </w:r>
      <w:r>
        <w:rPr>
          <w:rFonts w:hint="eastAsia" w:cs="宋体" w:asciiTheme="majorEastAsia" w:hAnsiTheme="majorEastAsia" w:eastAsiaTheme="majorEastAsia"/>
          <w:color w:val="auto"/>
          <w:sz w:val="21"/>
          <w:szCs w:val="21"/>
          <w:highlight w:val="none"/>
        </w:rPr>
        <w:t>谈判文件</w:t>
      </w:r>
      <w:r>
        <w:rPr>
          <w:rFonts w:hint="eastAsia" w:ascii="宋体" w:hAnsi="宋体" w:cs="宋体"/>
          <w:color w:val="auto"/>
          <w:sz w:val="21"/>
          <w:szCs w:val="21"/>
          <w:highlight w:val="none"/>
        </w:rPr>
        <w:t>要求而额外赠送的货物、免费培训等其他形式的优惠，在评标时将不具有竞争优势。</w:t>
      </w:r>
    </w:p>
    <w:p w14:paraId="2620C172">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6）对于有配件、耗材、选件和特殊工具的货物，还应填报投标货物配件、耗材、选件表和备件及特殊工具清单，注明品牌、型号、产地、功能、单价、批量折扣等内容，该表格式由响应人自行设计。响应人按照上述要求分类报价，其目的是便于评标，但在任何情况下并不限制采购人或代理机构以其他条款签订合同的权利。</w:t>
      </w:r>
    </w:p>
    <w:p w14:paraId="2DE3276B">
      <w:pPr>
        <w:snapToGrid w:val="0"/>
        <w:spacing w:line="400" w:lineRule="exact"/>
        <w:rPr>
          <w:rFonts w:ascii="宋体" w:hAnsi="宋体" w:cs="宋体"/>
          <w:color w:val="auto"/>
          <w:sz w:val="21"/>
          <w:szCs w:val="21"/>
          <w:highlight w:val="none"/>
        </w:rPr>
      </w:pPr>
      <w:r>
        <w:rPr>
          <w:rFonts w:hint="eastAsia" w:ascii="宋体" w:hAnsi="宋体" w:cs="宋体"/>
          <w:b/>
          <w:color w:val="auto"/>
          <w:sz w:val="21"/>
          <w:szCs w:val="21"/>
          <w:highlight w:val="none"/>
        </w:rPr>
        <w:t>七、响应人应认真检查谈判文件的内容是否齐全，如有遗漏，应及时向代理机构索取，否则责任自负。</w:t>
      </w:r>
      <w:bookmarkEnd w:id="12"/>
      <w:bookmarkEnd w:id="13"/>
      <w:bookmarkEnd w:id="14"/>
      <w:bookmarkStart w:id="15" w:name="_Toc288738407"/>
      <w:bookmarkStart w:id="16" w:name="_Toc288738801"/>
      <w:bookmarkStart w:id="17" w:name="_Toc288738333"/>
    </w:p>
    <w:p w14:paraId="06275F43">
      <w:pPr>
        <w:snapToGrid w:val="0"/>
        <w:spacing w:line="400" w:lineRule="exact"/>
        <w:rPr>
          <w:rFonts w:ascii="宋体" w:hAnsi="宋体" w:cs="宋体"/>
          <w:b/>
          <w:color w:val="auto"/>
          <w:sz w:val="21"/>
          <w:szCs w:val="21"/>
          <w:highlight w:val="none"/>
        </w:rPr>
      </w:pPr>
      <w:r>
        <w:rPr>
          <w:rFonts w:hint="eastAsia" w:ascii="宋体" w:hAnsi="宋体" w:cs="宋体"/>
          <w:b/>
          <w:color w:val="auto"/>
          <w:sz w:val="21"/>
          <w:szCs w:val="21"/>
          <w:highlight w:val="none"/>
        </w:rPr>
        <w:t>八、响应文件的制作应当符合以下要求</w:t>
      </w:r>
      <w:bookmarkEnd w:id="15"/>
      <w:bookmarkEnd w:id="16"/>
      <w:bookmarkEnd w:id="17"/>
    </w:p>
    <w:p w14:paraId="26BB8C16">
      <w:pPr>
        <w:snapToGrid w:val="0"/>
        <w:spacing w:line="400" w:lineRule="exact"/>
        <w:ind w:firstLine="420" w:firstLineChars="200"/>
        <w:rPr>
          <w:rFonts w:ascii="宋体" w:hAnsi="宋体" w:cs="宋体"/>
          <w:color w:val="auto"/>
          <w:sz w:val="21"/>
          <w:szCs w:val="21"/>
          <w:highlight w:val="none"/>
        </w:rPr>
      </w:pPr>
      <w:bookmarkStart w:id="18" w:name="_Toc288738408"/>
      <w:bookmarkStart w:id="19" w:name="_Toc288738334"/>
      <w:bookmarkStart w:id="20" w:name="_Toc288738802"/>
      <w:r>
        <w:rPr>
          <w:rFonts w:hint="eastAsia" w:ascii="宋体" w:hAnsi="宋体" w:cs="宋体"/>
          <w:color w:val="auto"/>
          <w:sz w:val="21"/>
          <w:szCs w:val="21"/>
          <w:highlight w:val="none"/>
        </w:rPr>
        <w:t>8.1响应文件的正本和副本均需打印或使用不褪色的蓝、黑墨水笔书写，字迹应清晰易于辨认，并应在响应文件封面的右上角清楚地注明“正本”或“副本”。正本和副本如有不一致之处，以正本为准。</w:t>
      </w:r>
    </w:p>
    <w:p w14:paraId="30EC6225">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8.2响应文件由响应人按</w:t>
      </w:r>
      <w:r>
        <w:rPr>
          <w:rFonts w:hint="eastAsia" w:cs="宋体" w:asciiTheme="majorEastAsia" w:hAnsiTheme="majorEastAsia" w:eastAsiaTheme="majorEastAsia"/>
          <w:color w:val="auto"/>
          <w:sz w:val="21"/>
          <w:szCs w:val="21"/>
          <w:highlight w:val="none"/>
        </w:rPr>
        <w:t>谈判文件</w:t>
      </w:r>
      <w:r>
        <w:rPr>
          <w:rFonts w:hint="eastAsia" w:ascii="宋体" w:hAnsi="宋体" w:cs="宋体"/>
          <w:color w:val="auto"/>
          <w:sz w:val="21"/>
          <w:szCs w:val="21"/>
          <w:highlight w:val="none"/>
        </w:rPr>
        <w:t>规定的格式如实填写（编写），须有法人、法定代表人（负责人）或法定代表人（负责人）授权代表签字（盖章），方为有效。副本可通过正本复印并在规定地方加盖公章。</w:t>
      </w:r>
    </w:p>
    <w:p w14:paraId="5FDA0F67">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8.3响应人违反上述规定的，其响应文件将被作为无效响应文件处理，不予拆封和参加评审。</w:t>
      </w:r>
    </w:p>
    <w:p w14:paraId="0CD22019">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8.4全套响应文件应无修改和行间插字。</w:t>
      </w:r>
    </w:p>
    <w:p w14:paraId="7DB9FF23">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8.5响应报价清晰准确，不存在影响其他响应人评分的严重错误。</w:t>
      </w:r>
    </w:p>
    <w:p w14:paraId="5251B9EE">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8.6所有文件、往来函件均应使用简体中文（规格、型号辅助符号例外）。</w:t>
      </w:r>
    </w:p>
    <w:p w14:paraId="57EDD8CC">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8.7响应人投标一律以人民币为投标结算货币,结算单位为“元”。</w:t>
      </w:r>
    </w:p>
    <w:p w14:paraId="62A5BFF7">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8.8响应文件格式部分，应由响应人按给定格式提供，不得更改。</w:t>
      </w:r>
    </w:p>
    <w:p w14:paraId="367D85EB">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8.9响应文件不应有涂改、增删和潦草之处，如有必须修改时，修改处必须有法人、法定代表人（负责人）或法定代表人（负责人）授权代表的签字和盖章。</w:t>
      </w:r>
    </w:p>
    <w:p w14:paraId="412DD70E">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8.10响应人在响应文件中应加盖与响应人全称相一致的标准公章，不得使用其他形式如带有“专用章”等字样的印章；响应人法定代表人（负责人）或授权代表的签字或盖章须为全名。</w:t>
      </w:r>
    </w:p>
    <w:p w14:paraId="5F272F24">
      <w:pPr>
        <w:snapToGrid w:val="0"/>
        <w:spacing w:line="400" w:lineRule="exact"/>
        <w:rPr>
          <w:rFonts w:ascii="宋体" w:hAnsi="宋体" w:cs="宋体"/>
          <w:b/>
          <w:color w:val="auto"/>
          <w:sz w:val="21"/>
          <w:szCs w:val="21"/>
          <w:highlight w:val="none"/>
        </w:rPr>
      </w:pPr>
      <w:r>
        <w:rPr>
          <w:rFonts w:hint="eastAsia" w:ascii="宋体" w:hAnsi="宋体" w:cs="宋体"/>
          <w:b/>
          <w:color w:val="auto"/>
          <w:sz w:val="21"/>
          <w:szCs w:val="21"/>
          <w:highlight w:val="none"/>
        </w:rPr>
        <w:t>九、在响应文件提交截止时间之前的密封完好的响应文件可以接受。</w:t>
      </w:r>
      <w:bookmarkEnd w:id="18"/>
      <w:bookmarkEnd w:id="19"/>
      <w:bookmarkEnd w:id="20"/>
    </w:p>
    <w:p w14:paraId="2D82A45E">
      <w:pPr>
        <w:snapToGrid w:val="0"/>
        <w:spacing w:line="400" w:lineRule="exact"/>
        <w:jc w:val="left"/>
        <w:rPr>
          <w:rFonts w:hint="eastAsia" w:ascii="宋体" w:hAnsi="宋体" w:eastAsia="宋体" w:cs="宋体"/>
          <w:color w:val="auto"/>
          <w:sz w:val="21"/>
          <w:szCs w:val="21"/>
          <w:highlight w:val="none"/>
          <w:lang w:eastAsia="zh-CN"/>
        </w:rPr>
      </w:pPr>
      <w:bookmarkStart w:id="21" w:name="_Toc288738335"/>
      <w:bookmarkStart w:id="22" w:name="_Toc288738409"/>
      <w:bookmarkStart w:id="23" w:name="_Toc288738803"/>
      <w:r>
        <w:rPr>
          <w:rFonts w:hint="eastAsia" w:ascii="宋体" w:hAnsi="宋体" w:cs="宋体"/>
          <w:b/>
          <w:color w:val="auto"/>
          <w:sz w:val="21"/>
          <w:szCs w:val="21"/>
          <w:highlight w:val="none"/>
        </w:rPr>
        <w:t>十、谈判保证金</w:t>
      </w:r>
      <w:bookmarkEnd w:id="21"/>
      <w:bookmarkEnd w:id="22"/>
      <w:bookmarkEnd w:id="23"/>
      <w:r>
        <w:rPr>
          <w:rFonts w:hint="eastAsia" w:ascii="宋体" w:hAnsi="宋体" w:cs="宋体"/>
          <w:b/>
          <w:color w:val="auto"/>
          <w:sz w:val="21"/>
          <w:szCs w:val="21"/>
          <w:highlight w:val="none"/>
        </w:rPr>
        <w:t>：</w:t>
      </w:r>
      <w:r>
        <w:rPr>
          <w:rFonts w:hint="eastAsia" w:ascii="宋体" w:hAnsi="宋体" w:cs="宋体"/>
          <w:b/>
          <w:color w:val="auto"/>
          <w:sz w:val="21"/>
          <w:szCs w:val="21"/>
          <w:highlight w:val="none"/>
          <w:lang w:val="en-US" w:eastAsia="zh-CN"/>
        </w:rPr>
        <w:t>无</w:t>
      </w:r>
    </w:p>
    <w:p w14:paraId="7D9FA3A8">
      <w:pPr>
        <w:snapToGrid w:val="0"/>
        <w:spacing w:line="400" w:lineRule="exact"/>
        <w:rPr>
          <w:rFonts w:ascii="宋体" w:hAnsi="宋体" w:cs="宋体"/>
          <w:b/>
          <w:color w:val="auto"/>
          <w:sz w:val="21"/>
          <w:szCs w:val="21"/>
          <w:highlight w:val="none"/>
        </w:rPr>
      </w:pPr>
      <w:bookmarkStart w:id="24" w:name="_Toc288738805"/>
      <w:bookmarkStart w:id="25" w:name="_Toc288738337"/>
      <w:bookmarkStart w:id="26" w:name="_Toc288738411"/>
      <w:r>
        <w:rPr>
          <w:rFonts w:hint="eastAsia" w:ascii="宋体" w:hAnsi="宋体" w:cs="宋体"/>
          <w:b/>
          <w:color w:val="auto"/>
          <w:sz w:val="21"/>
          <w:szCs w:val="21"/>
          <w:highlight w:val="none"/>
        </w:rPr>
        <w:t>十一、响应文件的密封与标志</w:t>
      </w:r>
      <w:bookmarkEnd w:id="24"/>
      <w:bookmarkEnd w:id="25"/>
      <w:bookmarkEnd w:id="26"/>
      <w:r>
        <w:rPr>
          <w:rFonts w:hint="eastAsia" w:ascii="宋体" w:hAnsi="宋体" w:cs="宋体"/>
          <w:b/>
          <w:color w:val="auto"/>
          <w:sz w:val="21"/>
          <w:szCs w:val="21"/>
          <w:highlight w:val="none"/>
        </w:rPr>
        <w:t>：详见响应人须知前附表</w:t>
      </w:r>
    </w:p>
    <w:p w14:paraId="42C1EFE0">
      <w:pPr>
        <w:snapToGrid w:val="0"/>
        <w:spacing w:line="400" w:lineRule="exact"/>
        <w:rPr>
          <w:rFonts w:ascii="宋体" w:hAnsi="宋体" w:cs="宋体"/>
          <w:b/>
          <w:color w:val="auto"/>
          <w:sz w:val="21"/>
          <w:szCs w:val="21"/>
          <w:highlight w:val="none"/>
        </w:rPr>
      </w:pPr>
      <w:bookmarkStart w:id="27" w:name="_Toc288738412"/>
      <w:bookmarkStart w:id="28" w:name="_Toc288738806"/>
      <w:bookmarkStart w:id="29" w:name="_Toc288738338"/>
      <w:r>
        <w:rPr>
          <w:rFonts w:hint="eastAsia" w:ascii="宋体" w:hAnsi="宋体" w:cs="宋体"/>
          <w:b/>
          <w:color w:val="auto"/>
          <w:sz w:val="21"/>
          <w:szCs w:val="21"/>
          <w:highlight w:val="none"/>
        </w:rPr>
        <w:t>十二、响应文件提交，截止时间和地</w:t>
      </w:r>
      <w:bookmarkEnd w:id="27"/>
      <w:bookmarkEnd w:id="28"/>
      <w:bookmarkEnd w:id="29"/>
      <w:r>
        <w:rPr>
          <w:rFonts w:hint="eastAsia" w:ascii="宋体" w:hAnsi="宋体" w:cs="宋体"/>
          <w:b/>
          <w:color w:val="auto"/>
          <w:sz w:val="21"/>
          <w:szCs w:val="21"/>
          <w:highlight w:val="none"/>
        </w:rPr>
        <w:t>点</w:t>
      </w:r>
    </w:p>
    <w:p w14:paraId="58359F9A">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12.1响应人须在谈判公告规定的响应文件提交截止时间之前在指定地点将响应文件提交给代理机构。</w:t>
      </w:r>
    </w:p>
    <w:p w14:paraId="2829040B">
      <w:pPr>
        <w:snapToGrid w:val="0"/>
        <w:spacing w:line="400" w:lineRule="exact"/>
        <w:rPr>
          <w:rFonts w:ascii="宋体" w:hAnsi="宋体" w:cs="宋体"/>
          <w:b/>
          <w:color w:val="auto"/>
          <w:sz w:val="21"/>
          <w:szCs w:val="21"/>
          <w:highlight w:val="none"/>
        </w:rPr>
      </w:pPr>
      <w:bookmarkStart w:id="30" w:name="_Toc288738807"/>
      <w:bookmarkStart w:id="31" w:name="_Toc288738339"/>
      <w:bookmarkStart w:id="32" w:name="_Toc288738413"/>
      <w:r>
        <w:rPr>
          <w:rFonts w:hint="eastAsia" w:ascii="宋体" w:hAnsi="宋体" w:cs="宋体"/>
          <w:b/>
          <w:color w:val="auto"/>
          <w:sz w:val="21"/>
          <w:szCs w:val="21"/>
          <w:highlight w:val="none"/>
        </w:rPr>
        <w:t>十三、响应文件的修改和撤回</w:t>
      </w:r>
      <w:bookmarkEnd w:id="30"/>
      <w:bookmarkEnd w:id="31"/>
      <w:bookmarkEnd w:id="32"/>
    </w:p>
    <w:p w14:paraId="183E07BB">
      <w:pPr>
        <w:snapToGrid w:val="0"/>
        <w:spacing w:line="400" w:lineRule="exact"/>
        <w:ind w:firstLine="420" w:firstLineChars="200"/>
        <w:rPr>
          <w:rFonts w:ascii="宋体" w:hAnsi="宋体" w:cs="宋体"/>
          <w:b/>
          <w:color w:val="auto"/>
          <w:sz w:val="21"/>
          <w:szCs w:val="21"/>
          <w:highlight w:val="none"/>
        </w:rPr>
      </w:pPr>
      <w:r>
        <w:rPr>
          <w:rFonts w:hint="eastAsia" w:ascii="宋体" w:hAnsi="宋体" w:cs="宋体"/>
          <w:color w:val="auto"/>
          <w:sz w:val="21"/>
          <w:szCs w:val="21"/>
          <w:highlight w:val="none"/>
        </w:rPr>
        <w:t>13.1在响应文件提交截止时间之前，响应人可以对所提交的响应文件进行修改和撤回，但所提交的修改或撤回通知必须按</w:t>
      </w:r>
      <w:r>
        <w:rPr>
          <w:rFonts w:hint="eastAsia" w:cs="宋体" w:asciiTheme="majorEastAsia" w:hAnsiTheme="majorEastAsia" w:eastAsiaTheme="majorEastAsia"/>
          <w:color w:val="auto"/>
          <w:sz w:val="21"/>
          <w:szCs w:val="21"/>
          <w:highlight w:val="none"/>
        </w:rPr>
        <w:t>谈判文件</w:t>
      </w:r>
      <w:r>
        <w:rPr>
          <w:rFonts w:hint="eastAsia" w:ascii="宋体" w:hAnsi="宋体" w:cs="宋体"/>
          <w:color w:val="auto"/>
          <w:sz w:val="21"/>
          <w:szCs w:val="21"/>
          <w:highlight w:val="none"/>
        </w:rPr>
        <w:t>的规定进行编制、密封、标志（在包封上标明“修改”或“撤回”字样，并注明修改或撤回的时间）和提交。</w:t>
      </w:r>
      <w:r>
        <w:rPr>
          <w:rFonts w:hint="eastAsia" w:ascii="宋体" w:hAnsi="宋体" w:cs="宋体"/>
          <w:b/>
          <w:color w:val="auto"/>
          <w:sz w:val="21"/>
          <w:szCs w:val="21"/>
          <w:highlight w:val="none"/>
        </w:rPr>
        <w:t>响应文件提交截止时间之后，响应人不得修改或撤回响应文件。</w:t>
      </w:r>
      <w:bookmarkStart w:id="33" w:name="_Toc288738808"/>
      <w:bookmarkStart w:id="34" w:name="_Toc288738340"/>
      <w:bookmarkStart w:id="35" w:name="_Toc471819247"/>
    </w:p>
    <w:bookmarkEnd w:id="33"/>
    <w:bookmarkEnd w:id="34"/>
    <w:bookmarkEnd w:id="35"/>
    <w:p w14:paraId="13BD8A76">
      <w:pPr>
        <w:snapToGrid w:val="0"/>
        <w:spacing w:line="400" w:lineRule="exact"/>
        <w:rPr>
          <w:rFonts w:ascii="宋体" w:hAnsi="宋体" w:cs="宋体"/>
          <w:b/>
          <w:color w:val="auto"/>
          <w:sz w:val="21"/>
          <w:szCs w:val="21"/>
          <w:highlight w:val="none"/>
        </w:rPr>
      </w:pPr>
      <w:r>
        <w:rPr>
          <w:rFonts w:hint="eastAsia" w:ascii="宋体" w:hAnsi="宋体" w:cs="宋体"/>
          <w:b/>
          <w:color w:val="auto"/>
          <w:sz w:val="21"/>
          <w:szCs w:val="21"/>
          <w:highlight w:val="none"/>
        </w:rPr>
        <w:t>十四、谈判报价次数：详见响应人须知前附表</w:t>
      </w:r>
    </w:p>
    <w:p w14:paraId="48B5BCE4">
      <w:pPr>
        <w:snapToGrid w:val="0"/>
        <w:spacing w:line="400" w:lineRule="exact"/>
        <w:rPr>
          <w:rFonts w:ascii="宋体" w:hAnsi="宋体" w:cs="宋体"/>
          <w:b/>
          <w:color w:val="auto"/>
          <w:sz w:val="21"/>
          <w:szCs w:val="21"/>
          <w:highlight w:val="none"/>
        </w:rPr>
      </w:pPr>
      <w:bookmarkStart w:id="36" w:name="_Toc288738812"/>
      <w:bookmarkStart w:id="37" w:name="_Toc288738344"/>
      <w:bookmarkStart w:id="38" w:name="_Toc288738418"/>
      <w:r>
        <w:rPr>
          <w:rFonts w:hint="eastAsia" w:ascii="宋体" w:hAnsi="宋体" w:cs="宋体"/>
          <w:b/>
          <w:color w:val="auto"/>
          <w:sz w:val="21"/>
          <w:szCs w:val="21"/>
          <w:highlight w:val="none"/>
        </w:rPr>
        <w:t>十五、响应文件的有效期</w:t>
      </w:r>
    </w:p>
    <w:p w14:paraId="136DEF3C">
      <w:pPr>
        <w:snapToGrid w:val="0"/>
        <w:spacing w:line="400" w:lineRule="exact"/>
        <w:ind w:firstLine="420" w:firstLineChars="200"/>
        <w:rPr>
          <w:rFonts w:ascii="宋体" w:hAnsi="宋体" w:cs="宋体"/>
          <w:bCs/>
          <w:color w:val="auto"/>
          <w:sz w:val="21"/>
          <w:szCs w:val="21"/>
          <w:highlight w:val="none"/>
        </w:rPr>
      </w:pPr>
      <w:r>
        <w:rPr>
          <w:rFonts w:hint="eastAsia" w:ascii="宋体" w:hAnsi="宋体" w:cs="宋体"/>
          <w:bCs/>
          <w:color w:val="auto"/>
          <w:sz w:val="21"/>
          <w:szCs w:val="21"/>
          <w:highlight w:val="none"/>
        </w:rPr>
        <w:t>15.1本项目响应文件的有效期</w:t>
      </w:r>
      <w:r>
        <w:rPr>
          <w:rFonts w:hint="eastAsia" w:ascii="宋体" w:hAnsi="宋体" w:cs="宋体"/>
          <w:b/>
          <w:color w:val="auto"/>
          <w:sz w:val="21"/>
          <w:szCs w:val="21"/>
          <w:highlight w:val="none"/>
        </w:rPr>
        <w:t>详见响应人须知前附表</w:t>
      </w:r>
      <w:r>
        <w:rPr>
          <w:rFonts w:hint="eastAsia" w:ascii="宋体" w:hAnsi="宋体" w:cs="宋体"/>
          <w:bCs/>
          <w:color w:val="auto"/>
          <w:sz w:val="21"/>
          <w:szCs w:val="21"/>
          <w:highlight w:val="none"/>
        </w:rPr>
        <w:t>。响应截止时间后，响应人在响应有效期内不得撤销响应文件。</w:t>
      </w:r>
    </w:p>
    <w:p w14:paraId="71BAE3D7">
      <w:pPr>
        <w:snapToGrid w:val="0"/>
        <w:spacing w:line="400" w:lineRule="exact"/>
        <w:ind w:firstLine="420" w:firstLineChars="200"/>
        <w:rPr>
          <w:rFonts w:ascii="宋体" w:hAnsi="宋体" w:cs="宋体"/>
          <w:bCs/>
          <w:color w:val="auto"/>
          <w:sz w:val="21"/>
          <w:szCs w:val="21"/>
          <w:highlight w:val="none"/>
        </w:rPr>
      </w:pPr>
      <w:r>
        <w:rPr>
          <w:rFonts w:hint="eastAsia" w:ascii="宋体" w:hAnsi="宋体" w:cs="宋体"/>
          <w:bCs/>
          <w:color w:val="auto"/>
          <w:sz w:val="21"/>
          <w:szCs w:val="21"/>
          <w:highlight w:val="none"/>
        </w:rPr>
        <w:t>15.2在特殊情况下，采购人或</w:t>
      </w:r>
      <w:r>
        <w:rPr>
          <w:rFonts w:hint="eastAsia" w:ascii="宋体" w:hAnsi="宋体" w:cs="宋体"/>
          <w:color w:val="auto"/>
          <w:sz w:val="21"/>
          <w:szCs w:val="21"/>
          <w:highlight w:val="none"/>
        </w:rPr>
        <w:t>代理机构</w:t>
      </w:r>
      <w:r>
        <w:rPr>
          <w:rFonts w:hint="eastAsia" w:ascii="宋体" w:hAnsi="宋体" w:cs="宋体"/>
          <w:bCs/>
          <w:color w:val="auto"/>
          <w:sz w:val="21"/>
          <w:szCs w:val="21"/>
          <w:highlight w:val="none"/>
        </w:rPr>
        <w:t>可与响应人协商延长响应文件的有效期。这种要求和答复都应以书面形式进行。同意延长有效期的响应人除按照采购人或</w:t>
      </w:r>
      <w:r>
        <w:rPr>
          <w:rFonts w:hint="eastAsia" w:ascii="宋体" w:hAnsi="宋体" w:cs="宋体"/>
          <w:color w:val="auto"/>
          <w:sz w:val="21"/>
          <w:szCs w:val="21"/>
          <w:highlight w:val="none"/>
        </w:rPr>
        <w:t>代理机构</w:t>
      </w:r>
      <w:r>
        <w:rPr>
          <w:rFonts w:hint="eastAsia" w:ascii="宋体" w:hAnsi="宋体" w:cs="宋体"/>
          <w:bCs/>
          <w:color w:val="auto"/>
          <w:sz w:val="21"/>
          <w:szCs w:val="21"/>
          <w:highlight w:val="none"/>
        </w:rPr>
        <w:t>要求修改响应文件有效期外，不得修改响应文件的其他内容。</w:t>
      </w:r>
    </w:p>
    <w:bookmarkEnd w:id="36"/>
    <w:bookmarkEnd w:id="37"/>
    <w:bookmarkEnd w:id="38"/>
    <w:p w14:paraId="0EC4C601">
      <w:pPr>
        <w:snapToGrid w:val="0"/>
        <w:spacing w:line="400" w:lineRule="exact"/>
        <w:rPr>
          <w:rFonts w:ascii="宋体" w:hAnsi="宋体" w:cs="宋体"/>
          <w:b/>
          <w:color w:val="auto"/>
          <w:sz w:val="21"/>
          <w:szCs w:val="21"/>
          <w:highlight w:val="none"/>
        </w:rPr>
      </w:pPr>
      <w:bookmarkStart w:id="39" w:name="_Toc288738345"/>
      <w:bookmarkStart w:id="40" w:name="_Toc288738813"/>
      <w:bookmarkStart w:id="41" w:name="_Toc288738419"/>
      <w:r>
        <w:rPr>
          <w:rFonts w:hint="eastAsia" w:ascii="宋体" w:hAnsi="宋体" w:cs="宋体"/>
          <w:b/>
          <w:color w:val="auto"/>
          <w:sz w:val="21"/>
          <w:szCs w:val="21"/>
          <w:highlight w:val="none"/>
        </w:rPr>
        <w:t>十六、成交服务费：详见响应人须知前附表</w:t>
      </w:r>
    </w:p>
    <w:p w14:paraId="1CDBB7DB">
      <w:pPr>
        <w:snapToGrid w:val="0"/>
        <w:spacing w:line="400" w:lineRule="exact"/>
        <w:rPr>
          <w:rFonts w:ascii="宋体" w:hAnsi="宋体" w:cs="宋体"/>
          <w:b/>
          <w:color w:val="auto"/>
          <w:sz w:val="21"/>
          <w:szCs w:val="21"/>
          <w:highlight w:val="none"/>
        </w:rPr>
      </w:pPr>
      <w:r>
        <w:rPr>
          <w:rFonts w:hint="eastAsia" w:ascii="宋体" w:hAnsi="宋体" w:cs="宋体"/>
          <w:b/>
          <w:color w:val="auto"/>
          <w:sz w:val="21"/>
          <w:szCs w:val="21"/>
          <w:highlight w:val="none"/>
        </w:rPr>
        <w:t>十七、评审、评定成交方法</w:t>
      </w:r>
      <w:bookmarkEnd w:id="39"/>
      <w:bookmarkEnd w:id="40"/>
      <w:bookmarkEnd w:id="41"/>
    </w:p>
    <w:p w14:paraId="1493CAA4">
      <w:pPr>
        <w:snapToGrid w:val="0"/>
        <w:spacing w:line="400" w:lineRule="exact"/>
        <w:ind w:firstLine="420" w:firstLineChars="200"/>
        <w:rPr>
          <w:rFonts w:ascii="宋体" w:hAnsi="宋体" w:cs="宋体"/>
          <w:color w:val="auto"/>
          <w:sz w:val="21"/>
          <w:szCs w:val="21"/>
          <w:highlight w:val="none"/>
        </w:rPr>
      </w:pPr>
      <w:bookmarkStart w:id="42" w:name="_Toc288738420"/>
      <w:bookmarkStart w:id="43" w:name="_Toc288738814"/>
      <w:bookmarkStart w:id="44" w:name="_Toc288738346"/>
      <w:r>
        <w:rPr>
          <w:rFonts w:hint="eastAsia" w:ascii="宋体" w:hAnsi="宋体" w:cs="宋体"/>
          <w:color w:val="auto"/>
          <w:sz w:val="21"/>
          <w:szCs w:val="21"/>
          <w:highlight w:val="none"/>
        </w:rPr>
        <w:t>17.1根据质量和服务均能满足谈判文件实质性响应要求且最终报价最低的原则确定成交供应商；在符合上述要求的情况下，若有两个或两个以上的最低报价，则由采购人代表现场随机抽签确定成交供应商。</w:t>
      </w:r>
    </w:p>
    <w:p w14:paraId="700FA18B">
      <w:pPr>
        <w:snapToGrid w:val="0"/>
        <w:spacing w:line="400" w:lineRule="exact"/>
        <w:rPr>
          <w:rFonts w:ascii="宋体" w:hAnsi="宋体" w:cs="宋体"/>
          <w:b/>
          <w:color w:val="auto"/>
          <w:sz w:val="21"/>
          <w:szCs w:val="21"/>
          <w:highlight w:val="none"/>
        </w:rPr>
      </w:pPr>
      <w:r>
        <w:rPr>
          <w:rFonts w:hint="eastAsia" w:ascii="宋体" w:hAnsi="宋体" w:cs="宋体"/>
          <w:b/>
          <w:color w:val="auto"/>
          <w:sz w:val="21"/>
          <w:szCs w:val="21"/>
          <w:highlight w:val="none"/>
        </w:rPr>
        <w:t>十八、谈判及评审程序</w:t>
      </w:r>
    </w:p>
    <w:bookmarkEnd w:id="42"/>
    <w:bookmarkEnd w:id="43"/>
    <w:bookmarkEnd w:id="44"/>
    <w:p w14:paraId="1D1F2D8D">
      <w:pPr>
        <w:spacing w:line="400" w:lineRule="exact"/>
        <w:ind w:firstLine="420"/>
        <w:rPr>
          <w:rFonts w:ascii="宋体" w:hAnsi="宋体" w:cs="宋体"/>
          <w:b/>
          <w:color w:val="auto"/>
          <w:sz w:val="21"/>
          <w:szCs w:val="21"/>
          <w:highlight w:val="none"/>
          <w:u w:val="single"/>
        </w:rPr>
      </w:pPr>
      <w:bookmarkStart w:id="45" w:name="_Toc288738423"/>
      <w:bookmarkStart w:id="46" w:name="_Toc288738817"/>
      <w:bookmarkStart w:id="47" w:name="_Toc288738349"/>
      <w:r>
        <w:rPr>
          <w:rFonts w:hint="eastAsia" w:ascii="宋体" w:hAnsi="宋体" w:cs="宋体"/>
          <w:color w:val="auto"/>
          <w:sz w:val="21"/>
          <w:szCs w:val="21"/>
          <w:highlight w:val="none"/>
        </w:rPr>
        <w:t>18.1成立谈判小组。根据有关法律法规和本</w:t>
      </w:r>
      <w:r>
        <w:rPr>
          <w:rFonts w:hint="eastAsia" w:cs="宋体" w:asciiTheme="majorEastAsia" w:hAnsiTheme="majorEastAsia" w:eastAsiaTheme="majorEastAsia"/>
          <w:color w:val="auto"/>
          <w:sz w:val="21"/>
          <w:szCs w:val="21"/>
          <w:highlight w:val="none"/>
        </w:rPr>
        <w:t>谈判文件</w:t>
      </w:r>
      <w:r>
        <w:rPr>
          <w:rFonts w:hint="eastAsia" w:ascii="宋体" w:hAnsi="宋体" w:cs="宋体"/>
          <w:color w:val="auto"/>
          <w:sz w:val="21"/>
          <w:szCs w:val="21"/>
          <w:highlight w:val="none"/>
        </w:rPr>
        <w:t>的规定，结合本谈判项目的特点组建谈判小组，对具备实质性响应的响应文件进行评估和比较。谈判小组由三人以上单数组成，其中经济、技术等方面的专家不少于谈判小组成员总数的三分之二。</w:t>
      </w:r>
    </w:p>
    <w:p w14:paraId="7CE5C8FB">
      <w:pPr>
        <w:pStyle w:val="16"/>
        <w:widowControl/>
        <w:spacing w:line="400" w:lineRule="exact"/>
        <w:ind w:firstLine="420"/>
        <w:rPr>
          <w:rFonts w:hint="default" w:hAnsi="宋体" w:cs="宋体"/>
          <w:color w:val="auto"/>
          <w:sz w:val="21"/>
          <w:szCs w:val="21"/>
          <w:highlight w:val="none"/>
        </w:rPr>
      </w:pPr>
      <w:r>
        <w:rPr>
          <w:rFonts w:hAnsi="宋体" w:cs="宋体"/>
          <w:color w:val="auto"/>
          <w:sz w:val="21"/>
          <w:szCs w:val="21"/>
          <w:highlight w:val="none"/>
        </w:rPr>
        <w:t>18.2</w:t>
      </w:r>
      <w:r>
        <w:rPr>
          <w:rFonts w:hAnsi="宋体" w:cs="宋体"/>
          <w:color w:val="auto"/>
          <w:kern w:val="2"/>
          <w:sz w:val="21"/>
          <w:szCs w:val="21"/>
          <w:highlight w:val="none"/>
        </w:rPr>
        <w:t>代理机构</w:t>
      </w:r>
      <w:r>
        <w:rPr>
          <w:rFonts w:hAnsi="宋体" w:cs="宋体"/>
          <w:color w:val="auto"/>
          <w:sz w:val="21"/>
          <w:szCs w:val="21"/>
          <w:highlight w:val="none"/>
        </w:rPr>
        <w:t>将按</w:t>
      </w:r>
      <w:r>
        <w:rPr>
          <w:rFonts w:hAnsi="宋体" w:cs="宋体"/>
          <w:b/>
          <w:color w:val="auto"/>
          <w:sz w:val="21"/>
          <w:szCs w:val="21"/>
          <w:highlight w:val="none"/>
        </w:rPr>
        <w:t>第一部分采购邀请</w:t>
      </w:r>
      <w:r>
        <w:rPr>
          <w:rFonts w:hAnsi="宋体" w:cs="宋体"/>
          <w:color w:val="auto"/>
          <w:sz w:val="21"/>
          <w:szCs w:val="21"/>
          <w:highlight w:val="none"/>
        </w:rPr>
        <w:t>中规定的时间和地点举行谈判会议。</w:t>
      </w:r>
    </w:p>
    <w:p w14:paraId="4B7E94F6">
      <w:pPr>
        <w:spacing w:line="400" w:lineRule="exact"/>
        <w:ind w:firstLine="417"/>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18.3谈判会议由</w:t>
      </w:r>
      <w:r>
        <w:rPr>
          <w:rFonts w:hint="eastAsia" w:ascii="宋体" w:hAnsi="宋体" w:cs="宋体"/>
          <w:color w:val="auto"/>
          <w:sz w:val="21"/>
          <w:szCs w:val="21"/>
          <w:highlight w:val="none"/>
        </w:rPr>
        <w:t>代理机构</w:t>
      </w:r>
      <w:r>
        <w:rPr>
          <w:rFonts w:hint="eastAsia" w:ascii="宋体" w:hAnsi="宋体" w:cs="宋体"/>
          <w:color w:val="auto"/>
          <w:spacing w:val="2"/>
          <w:sz w:val="21"/>
          <w:szCs w:val="21"/>
          <w:highlight w:val="none"/>
        </w:rPr>
        <w:t>组织并主持，由</w:t>
      </w:r>
      <w:r>
        <w:rPr>
          <w:rFonts w:hint="eastAsia" w:ascii="宋体" w:hAnsi="宋体" w:cs="宋体"/>
          <w:color w:val="auto"/>
          <w:sz w:val="21"/>
          <w:szCs w:val="21"/>
          <w:highlight w:val="none"/>
        </w:rPr>
        <w:t>响应人</w:t>
      </w:r>
      <w:r>
        <w:rPr>
          <w:rFonts w:hint="eastAsia" w:ascii="宋体" w:hAnsi="宋体" w:cs="宋体"/>
          <w:color w:val="auto"/>
          <w:spacing w:val="2"/>
          <w:sz w:val="21"/>
          <w:szCs w:val="21"/>
          <w:highlight w:val="none"/>
        </w:rPr>
        <w:t>或者其推选的代表检查响应文件的密封情况；对响应文件进行检查，确认是否完整，文件签署是否正确，是否按本须知编制。</w:t>
      </w:r>
    </w:p>
    <w:p w14:paraId="14940890">
      <w:pPr>
        <w:spacing w:line="400" w:lineRule="exact"/>
        <w:ind w:firstLine="428"/>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18.4经确认无误后，由采购人或者</w:t>
      </w:r>
      <w:r>
        <w:rPr>
          <w:rFonts w:hint="eastAsia" w:ascii="宋体" w:hAnsi="宋体" w:cs="宋体"/>
          <w:color w:val="auto"/>
          <w:sz w:val="21"/>
          <w:szCs w:val="21"/>
          <w:highlight w:val="none"/>
        </w:rPr>
        <w:t>代理机构</w:t>
      </w:r>
      <w:r>
        <w:rPr>
          <w:rFonts w:hint="eastAsia" w:ascii="宋体" w:hAnsi="宋体" w:cs="宋体"/>
          <w:color w:val="auto"/>
          <w:spacing w:val="2"/>
          <w:sz w:val="21"/>
          <w:szCs w:val="21"/>
          <w:highlight w:val="none"/>
        </w:rPr>
        <w:t>工作人员当众宣布响应文件密封性核查结果；</w:t>
      </w:r>
    </w:p>
    <w:p w14:paraId="787CCFB5">
      <w:pPr>
        <w:spacing w:line="400" w:lineRule="exact"/>
        <w:ind w:firstLine="428"/>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18.5</w:t>
      </w:r>
      <w:r>
        <w:rPr>
          <w:rFonts w:hint="eastAsia" w:ascii="宋体" w:hAnsi="宋体" w:cs="宋体"/>
          <w:color w:val="auto"/>
          <w:sz w:val="21"/>
          <w:szCs w:val="21"/>
          <w:highlight w:val="none"/>
        </w:rPr>
        <w:t>响应人</w:t>
      </w:r>
      <w:r>
        <w:rPr>
          <w:rFonts w:hint="eastAsia" w:ascii="宋体" w:hAnsi="宋体" w:cs="宋体"/>
          <w:color w:val="auto"/>
          <w:spacing w:val="2"/>
          <w:sz w:val="21"/>
          <w:szCs w:val="21"/>
          <w:highlight w:val="none"/>
        </w:rPr>
        <w:t>法定代表人</w:t>
      </w:r>
      <w:r>
        <w:rPr>
          <w:rFonts w:hint="eastAsia" w:ascii="宋体" w:hAnsi="宋体" w:cs="宋体"/>
          <w:color w:val="auto"/>
          <w:sz w:val="21"/>
          <w:szCs w:val="21"/>
          <w:highlight w:val="none"/>
        </w:rPr>
        <w:t>（负责人）</w:t>
      </w:r>
      <w:r>
        <w:rPr>
          <w:rFonts w:hint="eastAsia" w:ascii="宋体" w:hAnsi="宋体" w:cs="宋体"/>
          <w:color w:val="auto"/>
          <w:spacing w:val="2"/>
          <w:sz w:val="21"/>
          <w:szCs w:val="21"/>
          <w:highlight w:val="none"/>
        </w:rPr>
        <w:t>或代理人在评审结果宣布前，未经同意不得擅自离开；</w:t>
      </w:r>
    </w:p>
    <w:p w14:paraId="1FFE6C20">
      <w:pPr>
        <w:spacing w:line="400" w:lineRule="exact"/>
        <w:ind w:firstLine="417"/>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18.6拆封响应文件；</w:t>
      </w:r>
    </w:p>
    <w:p w14:paraId="35F2AC63">
      <w:pPr>
        <w:spacing w:line="400" w:lineRule="exact"/>
        <w:ind w:firstLine="417"/>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18.7谈判小组检验已开封的响应文件是否符合</w:t>
      </w:r>
      <w:r>
        <w:rPr>
          <w:rFonts w:hint="eastAsia" w:cs="宋体" w:asciiTheme="majorEastAsia" w:hAnsiTheme="majorEastAsia" w:eastAsiaTheme="majorEastAsia"/>
          <w:color w:val="auto"/>
          <w:sz w:val="21"/>
          <w:szCs w:val="21"/>
          <w:highlight w:val="none"/>
        </w:rPr>
        <w:t>谈判文件</w:t>
      </w:r>
      <w:r>
        <w:rPr>
          <w:rFonts w:hint="eastAsia" w:ascii="宋体" w:hAnsi="宋体" w:cs="宋体"/>
          <w:color w:val="auto"/>
          <w:spacing w:val="2"/>
          <w:sz w:val="21"/>
          <w:szCs w:val="21"/>
          <w:highlight w:val="none"/>
        </w:rPr>
        <w:t>有关规定，是否完整，文件签署是否正确；谈判</w:t>
      </w:r>
      <w:r>
        <w:rPr>
          <w:rFonts w:hint="eastAsia" w:ascii="宋体" w:hAnsi="宋体" w:cs="宋体"/>
          <w:color w:val="auto"/>
          <w:sz w:val="21"/>
          <w:szCs w:val="21"/>
          <w:highlight w:val="none"/>
        </w:rPr>
        <w:t>小组</w:t>
      </w:r>
      <w:r>
        <w:rPr>
          <w:rFonts w:hint="eastAsia" w:ascii="宋体" w:hAnsi="宋体" w:cs="宋体"/>
          <w:color w:val="auto"/>
          <w:spacing w:val="2"/>
          <w:sz w:val="21"/>
          <w:szCs w:val="21"/>
          <w:highlight w:val="none"/>
        </w:rPr>
        <w:t>依据</w:t>
      </w:r>
      <w:r>
        <w:rPr>
          <w:rFonts w:hint="eastAsia" w:cs="宋体" w:asciiTheme="majorEastAsia" w:hAnsiTheme="majorEastAsia" w:eastAsiaTheme="majorEastAsia"/>
          <w:color w:val="auto"/>
          <w:sz w:val="21"/>
          <w:szCs w:val="21"/>
          <w:highlight w:val="none"/>
        </w:rPr>
        <w:t>谈判文件</w:t>
      </w:r>
      <w:r>
        <w:rPr>
          <w:rFonts w:hint="eastAsia" w:ascii="宋体" w:hAnsi="宋体" w:cs="宋体"/>
          <w:color w:val="auto"/>
          <w:spacing w:val="2"/>
          <w:sz w:val="21"/>
          <w:szCs w:val="21"/>
          <w:highlight w:val="none"/>
        </w:rPr>
        <w:t>规定进行资格审查、有效性审查，审查每份响应文件是否实质上响应了</w:t>
      </w:r>
      <w:r>
        <w:rPr>
          <w:rFonts w:hint="eastAsia" w:cs="宋体" w:asciiTheme="majorEastAsia" w:hAnsiTheme="majorEastAsia" w:eastAsiaTheme="majorEastAsia"/>
          <w:color w:val="auto"/>
          <w:sz w:val="21"/>
          <w:szCs w:val="21"/>
          <w:highlight w:val="none"/>
        </w:rPr>
        <w:t>谈判文件</w:t>
      </w:r>
      <w:r>
        <w:rPr>
          <w:rFonts w:hint="eastAsia" w:ascii="宋体" w:hAnsi="宋体" w:cs="宋体"/>
          <w:color w:val="auto"/>
          <w:spacing w:val="2"/>
          <w:sz w:val="21"/>
          <w:szCs w:val="21"/>
          <w:highlight w:val="none"/>
        </w:rPr>
        <w:t>的要求；</w:t>
      </w:r>
    </w:p>
    <w:p w14:paraId="395680F7">
      <w:pPr>
        <w:spacing w:line="400" w:lineRule="exact"/>
        <w:ind w:firstLine="428"/>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（1）实质上响应的响应是指与</w:t>
      </w:r>
      <w:r>
        <w:rPr>
          <w:rFonts w:hint="eastAsia" w:cs="宋体" w:asciiTheme="majorEastAsia" w:hAnsiTheme="majorEastAsia" w:eastAsiaTheme="majorEastAsia"/>
          <w:color w:val="auto"/>
          <w:sz w:val="21"/>
          <w:szCs w:val="21"/>
          <w:highlight w:val="none"/>
        </w:rPr>
        <w:t>谈判文件</w:t>
      </w:r>
      <w:r>
        <w:rPr>
          <w:rFonts w:hint="eastAsia" w:ascii="宋体" w:hAnsi="宋体" w:cs="宋体"/>
          <w:color w:val="auto"/>
          <w:spacing w:val="2"/>
          <w:sz w:val="21"/>
          <w:szCs w:val="21"/>
          <w:highlight w:val="none"/>
        </w:rPr>
        <w:t>的主要条款、条件和规格相符，没有重大偏离或保留。</w:t>
      </w:r>
    </w:p>
    <w:p w14:paraId="6E0AA498">
      <w:pPr>
        <w:spacing w:line="400" w:lineRule="exact"/>
        <w:ind w:firstLine="428"/>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（2）重大偏离或保留系指响应产品的质量、数量和交货期限等明显不能满足</w:t>
      </w:r>
      <w:r>
        <w:rPr>
          <w:rFonts w:hint="eastAsia" w:cs="宋体" w:asciiTheme="majorEastAsia" w:hAnsiTheme="majorEastAsia" w:eastAsiaTheme="majorEastAsia"/>
          <w:color w:val="auto"/>
          <w:sz w:val="21"/>
          <w:szCs w:val="21"/>
          <w:highlight w:val="none"/>
        </w:rPr>
        <w:t>谈判文件</w:t>
      </w:r>
      <w:r>
        <w:rPr>
          <w:rFonts w:hint="eastAsia" w:ascii="宋体" w:hAnsi="宋体" w:cs="宋体"/>
          <w:color w:val="auto"/>
          <w:spacing w:val="2"/>
          <w:sz w:val="21"/>
          <w:szCs w:val="21"/>
          <w:highlight w:val="none"/>
        </w:rPr>
        <w:t>的要求，或者实质上与</w:t>
      </w:r>
      <w:r>
        <w:rPr>
          <w:rFonts w:hint="eastAsia" w:cs="宋体" w:asciiTheme="majorEastAsia" w:hAnsiTheme="majorEastAsia" w:eastAsiaTheme="majorEastAsia"/>
          <w:color w:val="auto"/>
          <w:sz w:val="21"/>
          <w:szCs w:val="21"/>
          <w:highlight w:val="none"/>
        </w:rPr>
        <w:t>谈判文件</w:t>
      </w:r>
      <w:r>
        <w:rPr>
          <w:rFonts w:hint="eastAsia" w:ascii="宋体" w:hAnsi="宋体" w:cs="宋体"/>
          <w:color w:val="auto"/>
          <w:spacing w:val="2"/>
          <w:sz w:val="21"/>
          <w:szCs w:val="21"/>
          <w:highlight w:val="none"/>
        </w:rPr>
        <w:t>不一致，而且限制了采购人的权利或响应人的义务，纠正这些偏离或保留将对其他实质上响应要求的响应人的竞争地位产生不公正的影响。包括但不限于：</w:t>
      </w:r>
    </w:p>
    <w:p w14:paraId="580125D8">
      <w:pPr>
        <w:spacing w:line="400" w:lineRule="exact"/>
        <w:ind w:firstLine="648" w:firstLineChars="303"/>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a.应当交纳响应保证金的响应人未提交响应保证金或金额不足的；</w:t>
      </w:r>
    </w:p>
    <w:p w14:paraId="37322219">
      <w:pPr>
        <w:spacing w:line="400" w:lineRule="exact"/>
        <w:ind w:firstLine="648" w:firstLineChars="303"/>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b.本文件“响应人须知前附表”第</w:t>
      </w:r>
      <w:r>
        <w:rPr>
          <w:rFonts w:ascii="宋体" w:hAnsi="宋体" w:cs="宋体"/>
          <w:color w:val="auto"/>
          <w:spacing w:val="2"/>
          <w:sz w:val="21"/>
          <w:szCs w:val="21"/>
          <w:highlight w:val="none"/>
        </w:rPr>
        <w:t>17</w:t>
      </w:r>
      <w:r>
        <w:rPr>
          <w:rFonts w:hint="eastAsia" w:ascii="宋体" w:hAnsi="宋体" w:cs="宋体"/>
          <w:color w:val="auto"/>
          <w:spacing w:val="2"/>
          <w:sz w:val="21"/>
          <w:szCs w:val="21"/>
          <w:highlight w:val="none"/>
        </w:rPr>
        <w:t>条资格审查文件不全或无效的；</w:t>
      </w:r>
    </w:p>
    <w:p w14:paraId="66008E3B">
      <w:pPr>
        <w:spacing w:line="400" w:lineRule="exact"/>
        <w:ind w:firstLine="648" w:firstLineChars="303"/>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c.响应文件未按</w:t>
      </w:r>
      <w:r>
        <w:rPr>
          <w:rFonts w:hint="eastAsia" w:cs="宋体" w:asciiTheme="majorEastAsia" w:hAnsiTheme="majorEastAsia" w:eastAsiaTheme="majorEastAsia"/>
          <w:color w:val="auto"/>
          <w:sz w:val="21"/>
          <w:szCs w:val="21"/>
          <w:highlight w:val="none"/>
        </w:rPr>
        <w:t>谈判文件</w:t>
      </w:r>
      <w:r>
        <w:rPr>
          <w:rFonts w:hint="eastAsia" w:ascii="宋体" w:hAnsi="宋体" w:cs="宋体"/>
          <w:color w:val="auto"/>
          <w:spacing w:val="2"/>
          <w:sz w:val="21"/>
          <w:szCs w:val="21"/>
          <w:highlight w:val="none"/>
        </w:rPr>
        <w:t>的规定签署、盖章的；</w:t>
      </w:r>
    </w:p>
    <w:p w14:paraId="4CF8E42E">
      <w:pPr>
        <w:spacing w:line="400" w:lineRule="exact"/>
        <w:ind w:firstLine="648" w:firstLineChars="303"/>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d.响应有效期不足的；</w:t>
      </w:r>
    </w:p>
    <w:p w14:paraId="70EA98AD">
      <w:pPr>
        <w:spacing w:line="400" w:lineRule="exact"/>
        <w:ind w:firstLine="648" w:firstLineChars="303"/>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e.响应产品性能、规格、数量、交货时间、货物包装方式、检验标准和方法、售后服务承诺等不满足</w:t>
      </w:r>
      <w:r>
        <w:rPr>
          <w:rFonts w:hint="eastAsia" w:cs="宋体" w:asciiTheme="majorEastAsia" w:hAnsiTheme="majorEastAsia" w:eastAsiaTheme="majorEastAsia"/>
          <w:color w:val="auto"/>
          <w:sz w:val="21"/>
          <w:szCs w:val="21"/>
          <w:highlight w:val="none"/>
        </w:rPr>
        <w:t>谈判文件</w:t>
      </w:r>
      <w:r>
        <w:rPr>
          <w:rFonts w:hint="eastAsia" w:ascii="宋体" w:hAnsi="宋体" w:cs="宋体"/>
          <w:color w:val="auto"/>
          <w:spacing w:val="2"/>
          <w:sz w:val="21"/>
          <w:szCs w:val="21"/>
          <w:highlight w:val="none"/>
        </w:rPr>
        <w:t>中的相关要求和超出采购人可接受的偏差范围的；</w:t>
      </w:r>
    </w:p>
    <w:p w14:paraId="7F901C07">
      <w:pPr>
        <w:spacing w:line="400" w:lineRule="exact"/>
        <w:ind w:firstLine="648" w:firstLineChars="303"/>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f.未按照</w:t>
      </w:r>
      <w:r>
        <w:rPr>
          <w:rFonts w:hint="eastAsia" w:cs="宋体" w:asciiTheme="majorEastAsia" w:hAnsiTheme="majorEastAsia" w:eastAsiaTheme="majorEastAsia"/>
          <w:color w:val="auto"/>
          <w:sz w:val="21"/>
          <w:szCs w:val="21"/>
          <w:highlight w:val="none"/>
        </w:rPr>
        <w:t>谈判文件</w:t>
      </w:r>
      <w:r>
        <w:rPr>
          <w:rFonts w:hint="eastAsia" w:ascii="宋体" w:hAnsi="宋体" w:cs="宋体"/>
          <w:color w:val="auto"/>
          <w:spacing w:val="2"/>
          <w:sz w:val="21"/>
          <w:szCs w:val="21"/>
          <w:highlight w:val="none"/>
        </w:rPr>
        <w:t>规定报价的；</w:t>
      </w:r>
    </w:p>
    <w:p w14:paraId="62B4E005">
      <w:pPr>
        <w:spacing w:line="400" w:lineRule="exact"/>
        <w:ind w:firstLine="648" w:firstLineChars="303"/>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g.不符合</w:t>
      </w:r>
      <w:r>
        <w:rPr>
          <w:rFonts w:hint="eastAsia" w:cs="宋体" w:asciiTheme="majorEastAsia" w:hAnsiTheme="majorEastAsia" w:eastAsiaTheme="majorEastAsia"/>
          <w:color w:val="auto"/>
          <w:sz w:val="21"/>
          <w:szCs w:val="21"/>
          <w:highlight w:val="none"/>
        </w:rPr>
        <w:t>谈判文件</w:t>
      </w:r>
      <w:r>
        <w:rPr>
          <w:rFonts w:hint="eastAsia" w:ascii="宋体" w:hAnsi="宋体" w:cs="宋体"/>
          <w:color w:val="auto"/>
          <w:spacing w:val="2"/>
          <w:sz w:val="21"/>
          <w:szCs w:val="21"/>
          <w:highlight w:val="none"/>
        </w:rPr>
        <w:t>有关分包、转包规定的；</w:t>
      </w:r>
    </w:p>
    <w:p w14:paraId="7B96C462">
      <w:pPr>
        <w:spacing w:line="400" w:lineRule="exact"/>
        <w:ind w:firstLine="648" w:firstLineChars="303"/>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h.联合体响应文件未附联合体响应协议书的（如有）；</w:t>
      </w:r>
    </w:p>
    <w:p w14:paraId="6285C098">
      <w:pPr>
        <w:spacing w:line="400" w:lineRule="exact"/>
        <w:ind w:firstLine="648" w:firstLineChars="303"/>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i.响应文件附有采购人不能接受的条件；</w:t>
      </w:r>
    </w:p>
    <w:p w14:paraId="43E01C99">
      <w:pPr>
        <w:spacing w:line="400" w:lineRule="exact"/>
        <w:ind w:firstLine="648" w:firstLineChars="303"/>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j.不符合</w:t>
      </w:r>
      <w:r>
        <w:rPr>
          <w:rFonts w:hint="eastAsia" w:cs="宋体" w:asciiTheme="majorEastAsia" w:hAnsiTheme="majorEastAsia" w:eastAsiaTheme="majorEastAsia"/>
          <w:color w:val="auto"/>
          <w:sz w:val="21"/>
          <w:szCs w:val="21"/>
          <w:highlight w:val="none"/>
        </w:rPr>
        <w:t>谈判文件</w:t>
      </w:r>
      <w:r>
        <w:rPr>
          <w:rFonts w:hint="eastAsia" w:ascii="宋体" w:hAnsi="宋体" w:cs="宋体"/>
          <w:color w:val="auto"/>
          <w:spacing w:val="2"/>
          <w:sz w:val="21"/>
          <w:szCs w:val="21"/>
          <w:highlight w:val="none"/>
        </w:rPr>
        <w:t>中规定的其他实质性要求；</w:t>
      </w:r>
    </w:p>
    <w:p w14:paraId="321CC551">
      <w:pPr>
        <w:spacing w:line="400" w:lineRule="exact"/>
        <w:ind w:firstLine="428"/>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（3）重大偏离不允许在响应截止时间后修正，但谈判小组将允许修正响应中不构成重大偏离的地方，这些修正不会对其他实质上响应</w:t>
      </w:r>
      <w:r>
        <w:rPr>
          <w:rFonts w:hint="eastAsia" w:cs="宋体" w:asciiTheme="majorEastAsia" w:hAnsiTheme="majorEastAsia" w:eastAsiaTheme="majorEastAsia"/>
          <w:color w:val="auto"/>
          <w:sz w:val="21"/>
          <w:szCs w:val="21"/>
          <w:highlight w:val="none"/>
        </w:rPr>
        <w:t>谈判文件</w:t>
      </w:r>
      <w:r>
        <w:rPr>
          <w:rFonts w:hint="eastAsia" w:ascii="宋体" w:hAnsi="宋体" w:cs="宋体"/>
          <w:color w:val="auto"/>
          <w:spacing w:val="2"/>
          <w:sz w:val="21"/>
          <w:szCs w:val="21"/>
          <w:highlight w:val="none"/>
        </w:rPr>
        <w:t>要求的响应人的竞争地位产生不公正的影响。</w:t>
      </w:r>
    </w:p>
    <w:p w14:paraId="4765100D">
      <w:pPr>
        <w:spacing w:line="400" w:lineRule="exact"/>
        <w:ind w:firstLine="428"/>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（4）如果响应文件实质上没有响应</w:t>
      </w:r>
      <w:r>
        <w:rPr>
          <w:rFonts w:hint="eastAsia" w:cs="宋体" w:asciiTheme="majorEastAsia" w:hAnsiTheme="majorEastAsia" w:eastAsiaTheme="majorEastAsia"/>
          <w:color w:val="auto"/>
          <w:sz w:val="21"/>
          <w:szCs w:val="21"/>
          <w:highlight w:val="none"/>
        </w:rPr>
        <w:t>谈判文件</w:t>
      </w:r>
      <w:r>
        <w:rPr>
          <w:rFonts w:hint="eastAsia" w:ascii="宋体" w:hAnsi="宋体" w:cs="宋体"/>
          <w:color w:val="auto"/>
          <w:spacing w:val="2"/>
          <w:sz w:val="21"/>
          <w:szCs w:val="21"/>
          <w:highlight w:val="none"/>
        </w:rPr>
        <w:t>的要求，谈判小组将予以拒绝，响应人不得再对响应文件进行任何修正从而使其响应成为实质上响应的响应。</w:t>
      </w:r>
    </w:p>
    <w:p w14:paraId="25A46B33">
      <w:pPr>
        <w:spacing w:line="400" w:lineRule="exact"/>
        <w:ind w:firstLine="417"/>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18.8只有通过资格审查并合格的</w:t>
      </w:r>
      <w:r>
        <w:rPr>
          <w:rFonts w:hint="eastAsia" w:ascii="宋体" w:hAnsi="宋体" w:cs="宋体"/>
          <w:color w:val="auto"/>
          <w:sz w:val="21"/>
          <w:szCs w:val="21"/>
          <w:highlight w:val="none"/>
        </w:rPr>
        <w:t>响应人</w:t>
      </w:r>
      <w:r>
        <w:rPr>
          <w:rFonts w:hint="eastAsia" w:ascii="宋体" w:hAnsi="宋体" w:cs="宋体"/>
          <w:color w:val="auto"/>
          <w:spacing w:val="2"/>
          <w:sz w:val="21"/>
          <w:szCs w:val="21"/>
          <w:highlight w:val="none"/>
        </w:rPr>
        <w:t>才能进入下面的谈判程序，同时通过资格审查合格的</w:t>
      </w:r>
      <w:r>
        <w:rPr>
          <w:rFonts w:hint="eastAsia" w:ascii="宋体" w:hAnsi="宋体" w:cs="宋体"/>
          <w:color w:val="auto"/>
          <w:sz w:val="21"/>
          <w:szCs w:val="21"/>
          <w:highlight w:val="none"/>
        </w:rPr>
        <w:t>响应人</w:t>
      </w:r>
      <w:r>
        <w:rPr>
          <w:rFonts w:hint="eastAsia" w:ascii="宋体" w:hAnsi="宋体" w:cs="宋体"/>
          <w:color w:val="auto"/>
          <w:spacing w:val="2"/>
          <w:sz w:val="21"/>
          <w:szCs w:val="21"/>
          <w:highlight w:val="none"/>
        </w:rPr>
        <w:t>须不少于三家，否则谈判失败。谈判小组核对响应文件报价,报价不得超过采购预算或采购</w:t>
      </w:r>
      <w:r>
        <w:rPr>
          <w:rFonts w:hint="eastAsia" w:ascii="宋体" w:hAnsi="宋体" w:cs="宋体"/>
          <w:color w:val="auto"/>
          <w:sz w:val="21"/>
          <w:szCs w:val="21"/>
          <w:highlight w:val="none"/>
        </w:rPr>
        <w:t>最高限价</w:t>
      </w:r>
      <w:r>
        <w:rPr>
          <w:rFonts w:hint="eastAsia" w:ascii="宋体" w:hAnsi="宋体" w:cs="宋体"/>
          <w:color w:val="auto"/>
          <w:spacing w:val="2"/>
          <w:sz w:val="21"/>
          <w:szCs w:val="21"/>
          <w:highlight w:val="none"/>
        </w:rPr>
        <w:t>,否则不得进入后面的谈判程序。</w:t>
      </w:r>
    </w:p>
    <w:p w14:paraId="1FFEC4A1">
      <w:pPr>
        <w:spacing w:line="400" w:lineRule="exact"/>
        <w:ind w:firstLine="417"/>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18.9</w:t>
      </w:r>
      <w:r>
        <w:rPr>
          <w:rFonts w:hint="eastAsia" w:ascii="宋体" w:hAnsi="宋体" w:cs="宋体"/>
          <w:color w:val="auto"/>
          <w:spacing w:val="2"/>
          <w:sz w:val="21"/>
          <w:szCs w:val="21"/>
          <w:highlight w:val="none"/>
        </w:rPr>
        <w:t>按照签到顺序，谈判小组所有成员集中与单一供应商分别就技术、服务等内容进行谈判，确定其是否满足谈判要求，对谈判响应文件中含义不明确的内容谈判小组可要求响应人进行澄清说明，谈判文件如有实质性变动的，谈判小组应当以书面形式通知所有参加谈判的响应人。</w:t>
      </w:r>
    </w:p>
    <w:p w14:paraId="653282CB">
      <w:pPr>
        <w:spacing w:line="400" w:lineRule="exact"/>
        <w:ind w:firstLine="417"/>
        <w:rPr>
          <w:rFonts w:ascii="宋体" w:hAnsi="宋体" w:cs="宋体"/>
          <w:b/>
          <w:bCs/>
          <w:color w:val="auto"/>
          <w:spacing w:val="2"/>
          <w:sz w:val="21"/>
          <w:szCs w:val="21"/>
          <w:highlight w:val="none"/>
        </w:rPr>
      </w:pPr>
      <w:r>
        <w:rPr>
          <w:rFonts w:hint="eastAsia" w:ascii="宋体" w:hAnsi="宋体" w:cs="宋体"/>
          <w:color w:val="auto"/>
          <w:spacing w:val="2"/>
          <w:sz w:val="21"/>
          <w:szCs w:val="21"/>
          <w:highlight w:val="none"/>
        </w:rPr>
        <w:t>18.10</w:t>
      </w:r>
      <w:r>
        <w:rPr>
          <w:rFonts w:hint="eastAsia" w:ascii="宋体" w:hAnsi="宋体" w:cs="宋体"/>
          <w:color w:val="auto"/>
          <w:spacing w:val="2"/>
          <w:sz w:val="21"/>
          <w:szCs w:val="21"/>
          <w:highlight w:val="none"/>
        </w:rPr>
        <w:t>响应人填写有关第二次报价内容（最后总报价）(除因谈判文件修改导致成本增加，二次报价不得超过第一次报价，否则为无效响应报价)，并在最后一个响应人谈判结束后十五分钟内同时递交第二次报价表（此表由代理机构提供）；如未按上述时间递交承诺函的响应人，将作为自动放弃此次谈判，最后总报价超采购预算或采购最高限价的谈判响应人不具备成交资格。</w:t>
      </w:r>
    </w:p>
    <w:p w14:paraId="5F16D29D">
      <w:pPr>
        <w:spacing w:line="400" w:lineRule="exact"/>
        <w:ind w:firstLine="417"/>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18.11谈判小组根据</w:t>
      </w:r>
      <w:r>
        <w:rPr>
          <w:rFonts w:hint="eastAsia" w:ascii="宋体" w:hAnsi="宋体" w:cs="宋体"/>
          <w:color w:val="auto"/>
          <w:sz w:val="21"/>
          <w:szCs w:val="21"/>
          <w:highlight w:val="none"/>
        </w:rPr>
        <w:t>响应人</w:t>
      </w:r>
      <w:r>
        <w:rPr>
          <w:rFonts w:hint="eastAsia" w:ascii="宋体" w:hAnsi="宋体" w:cs="宋体"/>
          <w:color w:val="auto"/>
          <w:spacing w:val="2"/>
          <w:sz w:val="21"/>
          <w:szCs w:val="21"/>
          <w:highlight w:val="none"/>
        </w:rPr>
        <w:t>的承诺、响应程度和</w:t>
      </w:r>
      <w:r>
        <w:rPr>
          <w:rFonts w:hint="eastAsia" w:ascii="宋体" w:hAnsi="宋体" w:cs="宋体"/>
          <w:color w:val="auto"/>
          <w:sz w:val="21"/>
          <w:szCs w:val="21"/>
          <w:highlight w:val="none"/>
        </w:rPr>
        <w:t>响应人</w:t>
      </w:r>
      <w:r>
        <w:rPr>
          <w:rFonts w:hint="eastAsia" w:ascii="宋体" w:hAnsi="宋体" w:cs="宋体"/>
          <w:color w:val="auto"/>
          <w:spacing w:val="2"/>
          <w:sz w:val="21"/>
          <w:szCs w:val="21"/>
          <w:highlight w:val="none"/>
        </w:rPr>
        <w:t>的最后总报价进行按</w:t>
      </w:r>
      <w:r>
        <w:rPr>
          <w:rFonts w:hint="eastAsia" w:cs="宋体" w:asciiTheme="majorEastAsia" w:hAnsiTheme="majorEastAsia" w:eastAsiaTheme="majorEastAsia"/>
          <w:color w:val="auto"/>
          <w:sz w:val="21"/>
          <w:szCs w:val="21"/>
          <w:highlight w:val="none"/>
        </w:rPr>
        <w:t>谈判文件</w:t>
      </w:r>
      <w:r>
        <w:rPr>
          <w:rFonts w:hint="eastAsia" w:ascii="宋体" w:hAnsi="宋体" w:cs="宋体"/>
          <w:color w:val="auto"/>
          <w:spacing w:val="2"/>
          <w:sz w:val="21"/>
          <w:szCs w:val="21"/>
          <w:highlight w:val="none"/>
        </w:rPr>
        <w:t>规定的评审办法进行评审并给出评审意见。</w:t>
      </w:r>
    </w:p>
    <w:p w14:paraId="343B2206">
      <w:pPr>
        <w:spacing w:line="400" w:lineRule="exact"/>
        <w:ind w:firstLine="417"/>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18.12谈判小组根据谈判成交原则确定成交供应商，并将结果通知所有参加谈判的未成交的供应商。</w:t>
      </w:r>
    </w:p>
    <w:p w14:paraId="6DF25671">
      <w:pPr>
        <w:spacing w:line="400" w:lineRule="exact"/>
        <w:ind w:firstLine="417"/>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18.13谈判小组认为响应人的报价明显低于其他通过符合性审查响应人的报价，有可能影响产品质量或者不能诚信履约的，应当要求其在评标现场合理的时间内提供书面说明，必要时提交相关证明材料；响应人不能证明其报价合理性的，谈判小组应当将其作为无效响应处理。</w:t>
      </w:r>
    </w:p>
    <w:p w14:paraId="66A1BB6F">
      <w:pPr>
        <w:spacing w:line="400" w:lineRule="exact"/>
        <w:ind w:firstLine="417"/>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18.14谈判小组各成员应当在评审报告上签字，对自己的评审意见承担法律责任。对需要共同认定的事项存在争议的，应当按照少数服从多数的原则作出结论。持不同意见的谈判小组成员应当在评标报告上签署不同意见及理由，否则视为同意评标报告。</w:t>
      </w:r>
    </w:p>
    <w:p w14:paraId="0940892F">
      <w:pPr>
        <w:spacing w:line="400" w:lineRule="exact"/>
        <w:ind w:firstLine="417"/>
        <w:rPr>
          <w:rFonts w:ascii="宋体" w:hAnsi="宋体" w:cs="宋体"/>
          <w:color w:val="auto"/>
          <w:sz w:val="21"/>
          <w:szCs w:val="21"/>
          <w:highlight w:val="none"/>
        </w:rPr>
      </w:pPr>
      <w:r>
        <w:rPr>
          <w:rFonts w:hint="eastAsia" w:ascii="宋体" w:hAnsi="宋体" w:cs="宋体"/>
          <w:color w:val="auto"/>
          <w:spacing w:val="2"/>
          <w:sz w:val="21"/>
          <w:szCs w:val="21"/>
          <w:highlight w:val="none"/>
        </w:rPr>
        <w:t>18.15如谈判过程中出现本</w:t>
      </w:r>
      <w:r>
        <w:rPr>
          <w:rFonts w:hint="eastAsia" w:cs="宋体" w:asciiTheme="majorEastAsia" w:hAnsiTheme="majorEastAsia" w:eastAsiaTheme="majorEastAsia"/>
          <w:color w:val="auto"/>
          <w:sz w:val="21"/>
          <w:szCs w:val="21"/>
          <w:highlight w:val="none"/>
        </w:rPr>
        <w:t>谈判文件</w:t>
      </w:r>
      <w:r>
        <w:rPr>
          <w:rFonts w:hint="eastAsia" w:ascii="宋体" w:hAnsi="宋体" w:cs="宋体"/>
          <w:color w:val="auto"/>
          <w:spacing w:val="2"/>
          <w:sz w:val="21"/>
          <w:szCs w:val="21"/>
          <w:highlight w:val="none"/>
        </w:rPr>
        <w:t>未尽事宜，由谈判小组根据采购有关法律、法规讨论决定。</w:t>
      </w:r>
    </w:p>
    <w:p w14:paraId="0FA65087">
      <w:pPr>
        <w:snapToGrid w:val="0"/>
        <w:spacing w:line="400" w:lineRule="exact"/>
        <w:rPr>
          <w:rFonts w:ascii="宋体" w:hAnsi="宋体" w:cs="宋体"/>
          <w:b/>
          <w:color w:val="auto"/>
          <w:sz w:val="21"/>
          <w:szCs w:val="21"/>
          <w:highlight w:val="none"/>
        </w:rPr>
      </w:pPr>
      <w:r>
        <w:rPr>
          <w:rFonts w:hint="eastAsia" w:ascii="宋体" w:hAnsi="宋体" w:cs="宋体"/>
          <w:b/>
          <w:color w:val="auto"/>
          <w:sz w:val="21"/>
          <w:szCs w:val="21"/>
          <w:highlight w:val="none"/>
        </w:rPr>
        <w:t>十九、响应文件出现下列情况之一的，将作为无效响应文件处理，无效响应文件不予参加评审。</w:t>
      </w:r>
      <w:bookmarkEnd w:id="45"/>
      <w:bookmarkEnd w:id="46"/>
      <w:bookmarkEnd w:id="47"/>
    </w:p>
    <w:p w14:paraId="65AA0EFB">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19.1响应文件未按规定标志、密封、盖章的；</w:t>
      </w:r>
    </w:p>
    <w:p w14:paraId="028133AE">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19.2响应文件未加盖响应人公章的；</w:t>
      </w:r>
    </w:p>
    <w:p w14:paraId="04C1B086">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19.3授权委托书无响应人公章、法定代表人（负责人）的印鉴（或签名），或委托书非原件的；</w:t>
      </w:r>
    </w:p>
    <w:p w14:paraId="615DDAE0">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19.4响应人未通过报名的或者在名称上和法人地位上与报名情况发生实质性的改变的；</w:t>
      </w:r>
    </w:p>
    <w:p w14:paraId="2D3784B0">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19.5响应人不符合</w:t>
      </w:r>
      <w:r>
        <w:rPr>
          <w:rFonts w:hint="eastAsia" w:cs="宋体" w:asciiTheme="majorEastAsia" w:hAnsiTheme="majorEastAsia" w:eastAsiaTheme="majorEastAsia"/>
          <w:color w:val="auto"/>
          <w:sz w:val="21"/>
          <w:szCs w:val="21"/>
          <w:highlight w:val="none"/>
        </w:rPr>
        <w:t>谈判文件</w:t>
      </w:r>
      <w:r>
        <w:rPr>
          <w:rFonts w:hint="eastAsia" w:ascii="宋体" w:hAnsi="宋体" w:cs="宋体"/>
          <w:color w:val="auto"/>
          <w:sz w:val="21"/>
          <w:szCs w:val="21"/>
          <w:highlight w:val="none"/>
        </w:rPr>
        <w:t>中规定资格要求的，或者资格要求证明材料提供不齐全的；</w:t>
      </w:r>
    </w:p>
    <w:p w14:paraId="63110AAB">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19.6响应文件未按</w:t>
      </w:r>
      <w:r>
        <w:rPr>
          <w:rFonts w:hint="eastAsia" w:cs="宋体" w:asciiTheme="majorEastAsia" w:hAnsiTheme="majorEastAsia" w:eastAsiaTheme="majorEastAsia"/>
          <w:color w:val="auto"/>
          <w:sz w:val="21"/>
          <w:szCs w:val="21"/>
          <w:highlight w:val="none"/>
        </w:rPr>
        <w:t>谈判文件</w:t>
      </w:r>
      <w:r>
        <w:rPr>
          <w:rFonts w:hint="eastAsia" w:ascii="宋体" w:hAnsi="宋体" w:cs="宋体"/>
          <w:color w:val="auto"/>
          <w:sz w:val="21"/>
          <w:szCs w:val="21"/>
          <w:highlight w:val="none"/>
        </w:rPr>
        <w:t>规定的格式、内容和要求编制，响应文件字迹潦草、模糊、难以辨认；</w:t>
      </w:r>
    </w:p>
    <w:p w14:paraId="778193B8">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19.7响应人在一份响应文件中，对同一采购项目报有两个或多个报价，且未书面确定以哪个报价为准的；</w:t>
      </w:r>
    </w:p>
    <w:p w14:paraId="09688DF2">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19.8响应人在谈判报价中存在严重错误，并影响对其他响应人的评分的；</w:t>
      </w:r>
    </w:p>
    <w:p w14:paraId="000AE8C1">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19.9响应文件材料所述情况和所附相关资料不实的；</w:t>
      </w:r>
    </w:p>
    <w:p w14:paraId="4B6FA4F4">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19.10响应人以他人的名义投标、串通投标、以行贿手段谋取中标或者以其他弄虚作假方式投标的。</w:t>
      </w:r>
    </w:p>
    <w:p w14:paraId="5AB652F1">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19.11逾期送达的响应文件；</w:t>
      </w:r>
    </w:p>
    <w:p w14:paraId="795D30F0">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19.12谈判保证金未按谈判文件规定的方式和时间缴至指定帐户的（达到免收保证金条件的此款忽略）；</w:t>
      </w:r>
    </w:p>
    <w:p w14:paraId="64F560A8">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19.13响应人的谈判报价超出最高限价或预算金额；</w:t>
      </w:r>
    </w:p>
    <w:p w14:paraId="4F1FD4F2">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19.14</w:t>
      </w:r>
      <w:r>
        <w:rPr>
          <w:rFonts w:hint="eastAsia" w:cs="宋体" w:asciiTheme="majorEastAsia" w:hAnsiTheme="majorEastAsia" w:eastAsiaTheme="majorEastAsia"/>
          <w:color w:val="auto"/>
          <w:sz w:val="21"/>
          <w:szCs w:val="21"/>
          <w:highlight w:val="none"/>
        </w:rPr>
        <w:t>谈判文件</w:t>
      </w:r>
      <w:r>
        <w:rPr>
          <w:rFonts w:hint="eastAsia" w:ascii="宋体" w:hAnsi="宋体" w:cs="宋体"/>
          <w:color w:val="auto"/>
          <w:sz w:val="21"/>
          <w:szCs w:val="21"/>
          <w:highlight w:val="none"/>
        </w:rPr>
        <w:t>明确规定无效的其他情形，或者其他被谈判小组认定无效的情况；</w:t>
      </w:r>
    </w:p>
    <w:p w14:paraId="334D9DD8">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19.15</w:t>
      </w:r>
      <w:r>
        <w:rPr>
          <w:rFonts w:hint="eastAsia" w:cs="宋体" w:asciiTheme="majorEastAsia" w:hAnsiTheme="majorEastAsia" w:eastAsiaTheme="majorEastAsia"/>
          <w:color w:val="auto"/>
          <w:sz w:val="21"/>
          <w:szCs w:val="21"/>
          <w:highlight w:val="none"/>
        </w:rPr>
        <w:t>谈判文件</w:t>
      </w:r>
      <w:r>
        <w:rPr>
          <w:rFonts w:hint="eastAsia" w:ascii="宋体" w:hAnsi="宋体" w:cs="宋体"/>
          <w:color w:val="auto"/>
          <w:sz w:val="21"/>
          <w:szCs w:val="21"/>
          <w:highlight w:val="none"/>
        </w:rPr>
        <w:t>中约定的其他无效标要求；</w:t>
      </w:r>
    </w:p>
    <w:p w14:paraId="28DB9AA9">
      <w:pPr>
        <w:snapToGrid w:val="0"/>
        <w:spacing w:line="400" w:lineRule="exact"/>
        <w:ind w:firstLine="420" w:firstLineChars="200"/>
        <w:rPr>
          <w:rFonts w:ascii="宋体" w:hAnsi="宋体" w:cs="宋体"/>
          <w:color w:val="auto"/>
          <w:sz w:val="21"/>
          <w:szCs w:val="21"/>
          <w:highlight w:val="none"/>
        </w:rPr>
      </w:pPr>
      <w:bookmarkStart w:id="48" w:name="_Toc288738424"/>
      <w:bookmarkStart w:id="49" w:name="_Toc288738818"/>
      <w:bookmarkStart w:id="50" w:name="_Toc288738350"/>
      <w:r>
        <w:rPr>
          <w:rFonts w:hint="eastAsia" w:ascii="宋体" w:hAnsi="宋体" w:cs="宋体"/>
          <w:color w:val="auto"/>
          <w:sz w:val="21"/>
          <w:szCs w:val="21"/>
          <w:highlight w:val="none"/>
        </w:rPr>
        <w:t>19.</w:t>
      </w:r>
      <w:r>
        <w:rPr>
          <w:rFonts w:ascii="宋体" w:hAnsi="宋体" w:cs="宋体"/>
          <w:color w:val="auto"/>
          <w:sz w:val="21"/>
          <w:szCs w:val="21"/>
          <w:highlight w:val="none"/>
        </w:rPr>
        <w:t>16</w:t>
      </w:r>
      <w:r>
        <w:rPr>
          <w:rFonts w:hint="eastAsia" w:ascii="宋体" w:hAnsi="宋体" w:cs="宋体"/>
          <w:color w:val="auto"/>
          <w:sz w:val="21"/>
          <w:szCs w:val="21"/>
          <w:highlight w:val="none"/>
        </w:rPr>
        <w:t>不符合法律、法规和</w:t>
      </w:r>
      <w:r>
        <w:rPr>
          <w:rFonts w:hint="eastAsia" w:cs="宋体" w:asciiTheme="majorEastAsia" w:hAnsiTheme="majorEastAsia" w:eastAsiaTheme="majorEastAsia"/>
          <w:color w:val="auto"/>
          <w:sz w:val="21"/>
          <w:szCs w:val="21"/>
          <w:highlight w:val="none"/>
        </w:rPr>
        <w:t>谈判文件</w:t>
      </w:r>
      <w:r>
        <w:rPr>
          <w:rFonts w:hint="eastAsia" w:ascii="宋体" w:hAnsi="宋体" w:cs="宋体"/>
          <w:color w:val="auto"/>
          <w:sz w:val="21"/>
          <w:szCs w:val="21"/>
          <w:highlight w:val="none"/>
        </w:rPr>
        <w:t>规定的其他实质性要求的。</w:t>
      </w:r>
    </w:p>
    <w:p w14:paraId="34199C77">
      <w:pPr>
        <w:snapToGrid w:val="0"/>
        <w:spacing w:line="400" w:lineRule="exact"/>
        <w:rPr>
          <w:rFonts w:ascii="宋体" w:hAnsi="宋体" w:cs="宋体"/>
          <w:b/>
          <w:color w:val="auto"/>
          <w:sz w:val="21"/>
          <w:szCs w:val="21"/>
          <w:highlight w:val="none"/>
        </w:rPr>
      </w:pPr>
      <w:r>
        <w:rPr>
          <w:rFonts w:hint="eastAsia" w:ascii="宋体" w:hAnsi="宋体" w:cs="宋体"/>
          <w:b/>
          <w:color w:val="auto"/>
          <w:sz w:val="21"/>
          <w:szCs w:val="21"/>
          <w:highlight w:val="none"/>
        </w:rPr>
        <w:t>二十、</w:t>
      </w:r>
      <w:bookmarkEnd w:id="48"/>
      <w:bookmarkEnd w:id="49"/>
      <w:bookmarkEnd w:id="50"/>
      <w:r>
        <w:rPr>
          <w:rFonts w:hint="eastAsia" w:ascii="宋体" w:hAnsi="宋体" w:cs="宋体"/>
          <w:b/>
          <w:color w:val="auto"/>
          <w:sz w:val="21"/>
          <w:szCs w:val="21"/>
          <w:highlight w:val="none"/>
        </w:rPr>
        <w:t>确定成交供应商</w:t>
      </w:r>
    </w:p>
    <w:p w14:paraId="7F2A90F0">
      <w:pPr>
        <w:snapToGrid w:val="0"/>
        <w:spacing w:line="400" w:lineRule="exact"/>
        <w:ind w:firstLine="420" w:firstLineChars="200"/>
        <w:rPr>
          <w:rFonts w:ascii="宋体" w:hAnsi="宋体" w:cs="宋体"/>
          <w:color w:val="auto"/>
          <w:sz w:val="21"/>
          <w:szCs w:val="21"/>
          <w:highlight w:val="none"/>
        </w:rPr>
      </w:pPr>
      <w:bookmarkStart w:id="51" w:name="_Toc288738351"/>
      <w:bookmarkStart w:id="52" w:name="_Toc288738425"/>
      <w:bookmarkStart w:id="53" w:name="_Toc288738819"/>
      <w:r>
        <w:rPr>
          <w:rFonts w:hint="eastAsia" w:ascii="宋体" w:hAnsi="宋体" w:cs="宋体"/>
          <w:color w:val="auto"/>
          <w:sz w:val="21"/>
          <w:szCs w:val="21"/>
          <w:highlight w:val="none"/>
        </w:rPr>
        <w:t>20.1谈判小组应当从质量和服务均能满足</w:t>
      </w:r>
      <w:r>
        <w:rPr>
          <w:rFonts w:hint="eastAsia" w:cs="宋体" w:asciiTheme="majorEastAsia" w:hAnsiTheme="majorEastAsia" w:eastAsiaTheme="majorEastAsia"/>
          <w:color w:val="auto"/>
          <w:sz w:val="21"/>
          <w:szCs w:val="21"/>
          <w:highlight w:val="none"/>
        </w:rPr>
        <w:t>谈判文件</w:t>
      </w:r>
      <w:r>
        <w:rPr>
          <w:rFonts w:hint="eastAsia" w:ascii="宋体" w:hAnsi="宋体" w:cs="宋体"/>
          <w:color w:val="auto"/>
          <w:sz w:val="21"/>
          <w:szCs w:val="21"/>
          <w:highlight w:val="none"/>
        </w:rPr>
        <w:t>实质性响应要求的供应商中，由第二次报价最低的供应商为成交供应商。如出现两个或两个以上最终报价相同的谈判供应商，则由采购方以抽签方式确定成交供应商。并编写评审报告。</w:t>
      </w:r>
    </w:p>
    <w:p w14:paraId="2D013E3F">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20.2评审报告应当由谈判小组全体人员签字认可。谈判小组成员对评审报告有异议的，谈判小组按照少数服从多数的原则推荐成交候选响应人，采购程序继续进行。对评审报告有异议的谈判小组成员，应当在报告上签署不同意见并说明理由，由谈判小组书面记录相关情况。谈判小组成员拒绝在报告上签字又不书面说明其不同意见和理由的，视为同意评审报告。</w:t>
      </w:r>
    </w:p>
    <w:p w14:paraId="6061A154">
      <w:pPr>
        <w:snapToGrid w:val="0"/>
        <w:spacing w:line="400" w:lineRule="exact"/>
        <w:ind w:firstLine="420" w:firstLineChars="200"/>
        <w:rPr>
          <w:color w:val="auto"/>
          <w:highlight w:val="none"/>
        </w:rPr>
      </w:pPr>
      <w:r>
        <w:rPr>
          <w:rFonts w:hint="eastAsia" w:ascii="宋体" w:hAnsi="宋体" w:cs="宋体"/>
          <w:color w:val="auto"/>
          <w:sz w:val="21"/>
          <w:szCs w:val="21"/>
          <w:highlight w:val="none"/>
        </w:rPr>
        <w:t>20.3采购人也可授权谈判小组按本条规定直接确定成交供应商。</w:t>
      </w:r>
    </w:p>
    <w:p w14:paraId="04E7A37A">
      <w:pPr>
        <w:snapToGrid w:val="0"/>
        <w:spacing w:line="400" w:lineRule="exact"/>
        <w:rPr>
          <w:rFonts w:ascii="宋体" w:hAnsi="宋体" w:cs="宋体"/>
          <w:b/>
          <w:color w:val="auto"/>
          <w:sz w:val="21"/>
          <w:szCs w:val="21"/>
          <w:highlight w:val="none"/>
        </w:rPr>
      </w:pPr>
      <w:r>
        <w:rPr>
          <w:rFonts w:hint="eastAsia" w:ascii="宋体" w:hAnsi="宋体" w:cs="宋体"/>
          <w:b/>
          <w:color w:val="auto"/>
          <w:sz w:val="21"/>
          <w:szCs w:val="21"/>
          <w:highlight w:val="none"/>
        </w:rPr>
        <w:t>二十一、响应文件的澄清</w:t>
      </w:r>
      <w:bookmarkEnd w:id="51"/>
      <w:bookmarkEnd w:id="52"/>
      <w:bookmarkEnd w:id="53"/>
    </w:p>
    <w:p w14:paraId="5997F69E">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21.1为了有助于响应文件的审查、评价和比较，谈判小组可以书面方式要求响应人对响应文件中含义不明确、对同类问题表述不一致或者明显文字和计算错误的内容作必要的澄清、说明或者补正。响应人的澄清、说明或者补正应以书面方式进行并不得超出响应文件的范围或者改变响应文件的实质性内容。</w:t>
      </w:r>
    </w:p>
    <w:p w14:paraId="229CA72D">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21.2响应文件中的大写金额和小写金额不一致时的，以大写金额为准；单价乘数量不等于总价，数量符合</w:t>
      </w:r>
      <w:r>
        <w:rPr>
          <w:rFonts w:hint="eastAsia" w:cs="宋体" w:asciiTheme="majorEastAsia" w:hAnsiTheme="majorEastAsia" w:eastAsiaTheme="majorEastAsia"/>
          <w:color w:val="auto"/>
          <w:sz w:val="21"/>
          <w:szCs w:val="21"/>
          <w:highlight w:val="none"/>
        </w:rPr>
        <w:t>谈判文件</w:t>
      </w:r>
      <w:r>
        <w:rPr>
          <w:rFonts w:hint="eastAsia" w:ascii="宋体" w:hAnsi="宋体" w:cs="宋体"/>
          <w:color w:val="auto"/>
          <w:sz w:val="21"/>
          <w:szCs w:val="21"/>
          <w:highlight w:val="none"/>
        </w:rPr>
        <w:t>要求，以单价计算金额为准；单价金额小数点有明细错位的，应以总价为准，并修改单价；对不同文字文本响应文件的解释发生异议的，以中文文本为准。</w:t>
      </w:r>
    </w:p>
    <w:p w14:paraId="6748B8A4">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21.3所有澄清或说明必须以书面方式正式为之，由法定代表人（负责人）或其代理人的签名或盖章。</w:t>
      </w:r>
    </w:p>
    <w:p w14:paraId="1648CD83">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20.4响应人拒不按照项目评审要求作出澄清、说明或者补正的，作为无效响应处理。</w:t>
      </w:r>
    </w:p>
    <w:p w14:paraId="1A920A58">
      <w:pPr>
        <w:snapToGrid w:val="0"/>
        <w:spacing w:line="400" w:lineRule="exact"/>
        <w:rPr>
          <w:rFonts w:ascii="宋体" w:hAnsi="宋体" w:cs="宋体"/>
          <w:b/>
          <w:color w:val="auto"/>
          <w:sz w:val="21"/>
          <w:szCs w:val="21"/>
          <w:highlight w:val="none"/>
        </w:rPr>
      </w:pPr>
      <w:bookmarkStart w:id="54" w:name="_Toc288738352"/>
      <w:bookmarkStart w:id="55" w:name="_Toc288738820"/>
      <w:bookmarkStart w:id="56" w:name="_Toc288738426"/>
      <w:r>
        <w:rPr>
          <w:rFonts w:hint="eastAsia" w:ascii="宋体" w:hAnsi="宋体" w:cs="宋体"/>
          <w:b/>
          <w:color w:val="auto"/>
          <w:sz w:val="21"/>
          <w:szCs w:val="21"/>
          <w:highlight w:val="none"/>
        </w:rPr>
        <w:t>二十二、评审中作为终止谈判活动的情况</w:t>
      </w:r>
      <w:bookmarkEnd w:id="54"/>
      <w:bookmarkEnd w:id="55"/>
      <w:bookmarkEnd w:id="56"/>
    </w:p>
    <w:p w14:paraId="5BED5E6F">
      <w:pPr>
        <w:snapToGrid w:val="0"/>
        <w:spacing w:line="400" w:lineRule="exact"/>
        <w:ind w:firstLine="420" w:firstLineChars="200"/>
        <w:rPr>
          <w:rFonts w:ascii="宋体" w:hAnsi="宋体" w:cs="宋体"/>
          <w:color w:val="auto"/>
          <w:sz w:val="21"/>
          <w:szCs w:val="21"/>
          <w:highlight w:val="none"/>
        </w:rPr>
      </w:pPr>
      <w:bookmarkStart w:id="57" w:name="_Toc288738354"/>
      <w:bookmarkStart w:id="58" w:name="_Toc288738428"/>
      <w:bookmarkStart w:id="59" w:name="_Toc288738822"/>
      <w:r>
        <w:rPr>
          <w:rFonts w:hint="eastAsia" w:ascii="宋体" w:hAnsi="宋体" w:cs="宋体"/>
          <w:color w:val="auto"/>
          <w:sz w:val="21"/>
          <w:szCs w:val="21"/>
          <w:highlight w:val="none"/>
        </w:rPr>
        <w:t>22.1在谈判过程中，谈判小组发现有下列情形之一的，应当终止谈判采购活动：</w:t>
      </w:r>
    </w:p>
    <w:p w14:paraId="058581F2">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1)因情况变化，不再符合规定的谈判采购方式适用情形的；</w:t>
      </w:r>
    </w:p>
    <w:p w14:paraId="7041A3A1">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2)出现影响采购公正的违法、违规行为的；</w:t>
      </w:r>
    </w:p>
    <w:p w14:paraId="65F97B7B">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谈判价采购活动终止后，谈判小组应作出书面报告。</w:t>
      </w:r>
    </w:p>
    <w:p w14:paraId="32B909AB">
      <w:pPr>
        <w:snapToGrid w:val="0"/>
        <w:spacing w:line="400" w:lineRule="exact"/>
        <w:ind w:firstLine="420" w:firstLineChars="200"/>
        <w:rPr>
          <w:color w:val="auto"/>
          <w:highlight w:val="none"/>
        </w:rPr>
      </w:pPr>
      <w:r>
        <w:rPr>
          <w:rFonts w:hint="eastAsia" w:ascii="宋体" w:hAnsi="宋体" w:cs="宋体"/>
          <w:color w:val="auto"/>
          <w:sz w:val="21"/>
          <w:szCs w:val="21"/>
          <w:highlight w:val="none"/>
        </w:rPr>
        <w:t>3)在采购过程中符合竞争要求的供应商或者报价未超过采购预算的供应商不足3家的。</w:t>
      </w:r>
    </w:p>
    <w:p w14:paraId="57148DCD">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22.2在采购活动中因重大变故，采购任务取消的，采购人或者代理机构应当终止采购活动，通知所有参加采购活动的响应人，并将项目实施情况和采购任务取消原因报送本级财政部门。</w:t>
      </w:r>
    </w:p>
    <w:p w14:paraId="36F2BAD7">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22.3终止后，代理机构应当将终止原因通知所有响应人。</w:t>
      </w:r>
    </w:p>
    <w:p w14:paraId="7A5F5AA1">
      <w:pPr>
        <w:snapToGrid w:val="0"/>
        <w:spacing w:line="400" w:lineRule="exact"/>
        <w:rPr>
          <w:rFonts w:ascii="宋体" w:hAnsi="宋体" w:cs="宋体"/>
          <w:b/>
          <w:color w:val="auto"/>
          <w:sz w:val="21"/>
          <w:szCs w:val="21"/>
          <w:highlight w:val="none"/>
        </w:rPr>
      </w:pPr>
      <w:r>
        <w:rPr>
          <w:rFonts w:hint="eastAsia" w:ascii="宋体" w:hAnsi="宋体" w:cs="宋体"/>
          <w:b/>
          <w:color w:val="auto"/>
          <w:sz w:val="21"/>
          <w:szCs w:val="21"/>
          <w:highlight w:val="none"/>
        </w:rPr>
        <w:t>二十三、</w:t>
      </w:r>
      <w:bookmarkEnd w:id="57"/>
      <w:bookmarkEnd w:id="58"/>
      <w:bookmarkEnd w:id="59"/>
      <w:r>
        <w:rPr>
          <w:rFonts w:hint="eastAsia" w:ascii="宋体" w:hAnsi="宋体" w:cs="宋体"/>
          <w:b/>
          <w:color w:val="auto"/>
          <w:sz w:val="21"/>
          <w:szCs w:val="21"/>
          <w:highlight w:val="none"/>
        </w:rPr>
        <w:t>成交通知</w:t>
      </w:r>
    </w:p>
    <w:p w14:paraId="163E1E40">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23.1采购人或者代理机构应当在成交供应商确定后2个工作日内，在金坛教育服务网上公告成交结果，公示无异议后向成交供应商发出成交通知书。成交通知书对采购人和成交供应商具有同等法律效力。成交通知书发出以后，采购人改变成交结果或者成交供应商放弃成交，应当承担相应的法律责任。</w:t>
      </w:r>
    </w:p>
    <w:p w14:paraId="5D96678C">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23.2成交通知书是合同的组成部分。</w:t>
      </w:r>
    </w:p>
    <w:p w14:paraId="28EFECDC">
      <w:pPr>
        <w:snapToGrid w:val="0"/>
        <w:spacing w:line="400" w:lineRule="exact"/>
        <w:rPr>
          <w:rFonts w:ascii="宋体" w:hAnsi="宋体" w:cs="宋体"/>
          <w:b/>
          <w:color w:val="auto"/>
          <w:sz w:val="21"/>
          <w:szCs w:val="21"/>
          <w:highlight w:val="none"/>
        </w:rPr>
      </w:pPr>
      <w:r>
        <w:rPr>
          <w:rFonts w:hint="eastAsia" w:ascii="宋体" w:hAnsi="宋体" w:cs="宋体"/>
          <w:b/>
          <w:color w:val="auto"/>
          <w:sz w:val="21"/>
          <w:szCs w:val="21"/>
          <w:highlight w:val="none"/>
        </w:rPr>
        <w:t>二十四、签订合同</w:t>
      </w:r>
    </w:p>
    <w:p w14:paraId="33BF3594">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24.1采购人与成交供应商应当在成交通知书发出之日起30日内，按照</w:t>
      </w:r>
      <w:r>
        <w:rPr>
          <w:rFonts w:hint="eastAsia" w:cs="宋体" w:asciiTheme="majorEastAsia" w:hAnsiTheme="majorEastAsia" w:eastAsiaTheme="majorEastAsia"/>
          <w:color w:val="auto"/>
          <w:sz w:val="21"/>
          <w:szCs w:val="21"/>
          <w:highlight w:val="none"/>
        </w:rPr>
        <w:t>谈判文件</w:t>
      </w:r>
      <w:r>
        <w:rPr>
          <w:rFonts w:hint="eastAsia" w:ascii="宋体" w:hAnsi="宋体" w:cs="宋体"/>
          <w:color w:val="auto"/>
          <w:sz w:val="21"/>
          <w:szCs w:val="21"/>
          <w:highlight w:val="none"/>
        </w:rPr>
        <w:t>确定的合同文本以及采购标的、规格型号、采购金额、采购数量、技术和服务要求等事项签订采购合同。采购人不得向成交供应商提出超出</w:t>
      </w:r>
      <w:r>
        <w:rPr>
          <w:rFonts w:hint="eastAsia" w:cs="宋体" w:asciiTheme="majorEastAsia" w:hAnsiTheme="majorEastAsia" w:eastAsiaTheme="majorEastAsia"/>
          <w:color w:val="auto"/>
          <w:sz w:val="21"/>
          <w:szCs w:val="21"/>
          <w:highlight w:val="none"/>
        </w:rPr>
        <w:t>谈判文件</w:t>
      </w:r>
      <w:r>
        <w:rPr>
          <w:rFonts w:hint="eastAsia" w:ascii="宋体" w:hAnsi="宋体" w:cs="宋体"/>
          <w:color w:val="auto"/>
          <w:sz w:val="21"/>
          <w:szCs w:val="21"/>
          <w:highlight w:val="none"/>
        </w:rPr>
        <w:t>以外的任何要求作为签订合同的条件，不得与成交供应商订立背离</w:t>
      </w:r>
      <w:r>
        <w:rPr>
          <w:rFonts w:hint="eastAsia" w:cs="宋体" w:asciiTheme="majorEastAsia" w:hAnsiTheme="majorEastAsia" w:eastAsiaTheme="majorEastAsia"/>
          <w:color w:val="auto"/>
          <w:sz w:val="21"/>
          <w:szCs w:val="21"/>
          <w:highlight w:val="none"/>
        </w:rPr>
        <w:t>谈判文件</w:t>
      </w:r>
      <w:r>
        <w:rPr>
          <w:rFonts w:hint="eastAsia" w:ascii="宋体" w:hAnsi="宋体" w:cs="宋体"/>
          <w:color w:val="auto"/>
          <w:sz w:val="21"/>
          <w:szCs w:val="21"/>
          <w:highlight w:val="none"/>
        </w:rPr>
        <w:t>确定的合同文本以及采购标的、规格型号、采购金额、采购数量、技术和服务要求等实质性内容的协议。</w:t>
      </w:r>
    </w:p>
    <w:p w14:paraId="327D8D98">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24.2采购人如需追加与合同标的相同的货物，在不改变合同其他条款的前提下，成交供应商可与采购人协商签订补充合同，但所有补充合同的采购金额不得超过原合同金额的百分之十。</w:t>
      </w:r>
    </w:p>
    <w:p w14:paraId="73CACFEE">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24.3成交供应商一旦成交，及签订合同后，不得转包、分包，亦不得将合同全部及任何权利、义务向第三方转让，否则将被视为严重违约，代理机构有权决定按照成交供应商成交后终止或解除合同等依约处理。</w:t>
      </w:r>
    </w:p>
    <w:p w14:paraId="7206601E">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24.5违反24.1条、24.2的规定，给对方造成损失的，应承担赔偿责任。</w:t>
      </w:r>
    </w:p>
    <w:p w14:paraId="609146DE">
      <w:pPr>
        <w:snapToGrid w:val="0"/>
        <w:spacing w:line="400" w:lineRule="exact"/>
        <w:rPr>
          <w:rFonts w:ascii="宋体" w:hAnsi="宋体" w:cs="宋体"/>
          <w:b/>
          <w:color w:val="auto"/>
          <w:sz w:val="21"/>
          <w:szCs w:val="21"/>
          <w:highlight w:val="none"/>
        </w:rPr>
      </w:pPr>
      <w:r>
        <w:rPr>
          <w:rFonts w:hint="eastAsia" w:ascii="宋体" w:hAnsi="宋体" w:cs="宋体"/>
          <w:b/>
          <w:color w:val="auto"/>
          <w:sz w:val="21"/>
          <w:szCs w:val="21"/>
          <w:highlight w:val="none"/>
        </w:rPr>
        <w:t>二十五、询问、质疑、投诉</w:t>
      </w:r>
    </w:p>
    <w:p w14:paraId="64E6118C">
      <w:pPr>
        <w:snapToGrid w:val="0"/>
        <w:spacing w:line="400" w:lineRule="exact"/>
        <w:ind w:firstLine="422" w:firstLineChars="200"/>
        <w:rPr>
          <w:rFonts w:ascii="宋体" w:hAnsi="宋体" w:cs="宋体"/>
          <w:b/>
          <w:color w:val="auto"/>
          <w:sz w:val="21"/>
          <w:szCs w:val="21"/>
          <w:highlight w:val="none"/>
        </w:rPr>
      </w:pPr>
      <w:r>
        <w:rPr>
          <w:rFonts w:hint="eastAsia" w:ascii="宋体" w:hAnsi="宋体" w:cs="宋体"/>
          <w:b/>
          <w:color w:val="auto"/>
          <w:sz w:val="21"/>
          <w:szCs w:val="21"/>
          <w:highlight w:val="none"/>
        </w:rPr>
        <w:t>25.1询问</w:t>
      </w:r>
    </w:p>
    <w:p w14:paraId="3BA38C15">
      <w:pPr>
        <w:snapToGrid w:val="0"/>
        <w:spacing w:line="400" w:lineRule="exact"/>
        <w:ind w:firstLine="420" w:firstLineChars="200"/>
        <w:rPr>
          <w:rFonts w:ascii="宋体" w:hAnsi="宋体" w:cs="宋体"/>
          <w:bCs/>
          <w:color w:val="auto"/>
          <w:sz w:val="21"/>
          <w:szCs w:val="21"/>
          <w:highlight w:val="none"/>
        </w:rPr>
      </w:pPr>
      <w:r>
        <w:rPr>
          <w:rFonts w:hint="eastAsia" w:ascii="宋体" w:hAnsi="宋体" w:cs="宋体"/>
          <w:bCs/>
          <w:color w:val="auto"/>
          <w:sz w:val="21"/>
          <w:szCs w:val="21"/>
          <w:highlight w:val="none"/>
        </w:rPr>
        <w:t>供应商对采购活动有疑问的，可以按照</w:t>
      </w:r>
      <w:r>
        <w:rPr>
          <w:rFonts w:hint="eastAsia" w:ascii="宋体" w:hAnsi="宋体" w:cs="宋体"/>
          <w:b/>
          <w:color w:val="auto"/>
          <w:sz w:val="21"/>
          <w:szCs w:val="21"/>
          <w:highlight w:val="none"/>
        </w:rPr>
        <w:t>响应人须知前附表要求</w:t>
      </w:r>
      <w:r>
        <w:rPr>
          <w:rFonts w:hint="eastAsia" w:ascii="宋体" w:hAnsi="宋体" w:cs="宋体"/>
          <w:bCs/>
          <w:color w:val="auto"/>
          <w:sz w:val="21"/>
          <w:szCs w:val="21"/>
          <w:highlight w:val="none"/>
        </w:rPr>
        <w:t>向采购人或</w:t>
      </w:r>
      <w:r>
        <w:rPr>
          <w:rFonts w:hint="eastAsia" w:ascii="宋体" w:hAnsi="宋体" w:cs="宋体"/>
          <w:color w:val="auto"/>
          <w:sz w:val="21"/>
          <w:szCs w:val="21"/>
          <w:highlight w:val="none"/>
        </w:rPr>
        <w:t>代理机构</w:t>
      </w:r>
      <w:r>
        <w:rPr>
          <w:rFonts w:hint="eastAsia" w:ascii="宋体" w:hAnsi="宋体" w:cs="宋体"/>
          <w:bCs/>
          <w:color w:val="auto"/>
          <w:sz w:val="21"/>
          <w:szCs w:val="21"/>
          <w:highlight w:val="none"/>
        </w:rPr>
        <w:t>提出询问。</w:t>
      </w:r>
    </w:p>
    <w:p w14:paraId="316EFF94">
      <w:pPr>
        <w:snapToGrid w:val="0"/>
        <w:spacing w:line="400" w:lineRule="exact"/>
        <w:ind w:firstLine="422" w:firstLineChars="200"/>
        <w:rPr>
          <w:rFonts w:ascii="宋体" w:hAnsi="宋体" w:cs="宋体"/>
          <w:b/>
          <w:color w:val="auto"/>
          <w:sz w:val="21"/>
          <w:szCs w:val="21"/>
          <w:highlight w:val="none"/>
        </w:rPr>
      </w:pPr>
      <w:r>
        <w:rPr>
          <w:rFonts w:hint="eastAsia" w:ascii="宋体" w:hAnsi="宋体" w:cs="宋体"/>
          <w:b/>
          <w:color w:val="auto"/>
          <w:sz w:val="21"/>
          <w:szCs w:val="21"/>
          <w:highlight w:val="none"/>
        </w:rPr>
        <w:t>25.2质疑</w:t>
      </w:r>
    </w:p>
    <w:p w14:paraId="64004A2E">
      <w:pPr>
        <w:snapToGrid w:val="0"/>
        <w:spacing w:line="400" w:lineRule="exact"/>
        <w:ind w:firstLine="420" w:firstLineChars="200"/>
        <w:rPr>
          <w:rFonts w:ascii="宋体" w:hAnsi="宋体" w:cs="宋体"/>
          <w:bCs/>
          <w:color w:val="auto"/>
          <w:sz w:val="21"/>
          <w:szCs w:val="21"/>
          <w:highlight w:val="none"/>
        </w:rPr>
      </w:pPr>
      <w:r>
        <w:rPr>
          <w:rFonts w:hint="eastAsia" w:ascii="宋体" w:hAnsi="宋体" w:cs="宋体"/>
          <w:bCs/>
          <w:color w:val="auto"/>
          <w:sz w:val="21"/>
          <w:szCs w:val="21"/>
          <w:highlight w:val="none"/>
        </w:rPr>
        <w:t>（1）响应人（潜在响应人）对</w:t>
      </w:r>
      <w:r>
        <w:rPr>
          <w:rFonts w:hint="eastAsia" w:cs="宋体" w:asciiTheme="majorEastAsia" w:hAnsiTheme="majorEastAsia" w:eastAsiaTheme="majorEastAsia"/>
          <w:color w:val="auto"/>
          <w:sz w:val="21"/>
          <w:szCs w:val="21"/>
          <w:highlight w:val="none"/>
        </w:rPr>
        <w:t>谈判文件</w:t>
      </w:r>
      <w:r>
        <w:rPr>
          <w:rFonts w:hint="eastAsia" w:ascii="宋体" w:hAnsi="宋体" w:cs="宋体"/>
          <w:bCs/>
          <w:color w:val="auto"/>
          <w:sz w:val="21"/>
          <w:szCs w:val="21"/>
          <w:highlight w:val="none"/>
        </w:rPr>
        <w:t>条款或技术参数有异议的，应当在响应截止时间前提出，于响应截止时间后对</w:t>
      </w:r>
      <w:r>
        <w:rPr>
          <w:rFonts w:hint="eastAsia" w:cs="宋体" w:asciiTheme="majorEastAsia" w:hAnsiTheme="majorEastAsia" w:eastAsiaTheme="majorEastAsia"/>
          <w:color w:val="auto"/>
          <w:sz w:val="21"/>
          <w:szCs w:val="21"/>
          <w:highlight w:val="none"/>
        </w:rPr>
        <w:t>谈判文件</w:t>
      </w:r>
      <w:r>
        <w:rPr>
          <w:rFonts w:hint="eastAsia" w:ascii="宋体" w:hAnsi="宋体" w:cs="宋体"/>
          <w:bCs/>
          <w:color w:val="auto"/>
          <w:sz w:val="21"/>
          <w:szCs w:val="21"/>
          <w:highlight w:val="none"/>
        </w:rPr>
        <w:t>提出质疑的，其质疑被视为无效质疑。</w:t>
      </w:r>
    </w:p>
    <w:p w14:paraId="7E2EDB6D">
      <w:pPr>
        <w:snapToGrid w:val="0"/>
        <w:spacing w:line="400" w:lineRule="exact"/>
        <w:ind w:firstLine="420" w:firstLineChars="200"/>
        <w:rPr>
          <w:rFonts w:ascii="宋体" w:hAnsi="宋体" w:cs="宋体"/>
          <w:bCs/>
          <w:color w:val="auto"/>
          <w:sz w:val="21"/>
          <w:szCs w:val="21"/>
          <w:highlight w:val="none"/>
        </w:rPr>
      </w:pPr>
      <w:r>
        <w:rPr>
          <w:rFonts w:hint="eastAsia" w:ascii="宋体" w:hAnsi="宋体" w:cs="宋体"/>
          <w:bCs/>
          <w:color w:val="auto"/>
          <w:sz w:val="21"/>
          <w:szCs w:val="21"/>
          <w:highlight w:val="none"/>
        </w:rPr>
        <w:t>（2）响应人（潜在响应人）认为</w:t>
      </w:r>
      <w:r>
        <w:rPr>
          <w:rFonts w:hint="eastAsia" w:cs="宋体" w:asciiTheme="majorEastAsia" w:hAnsiTheme="majorEastAsia" w:eastAsiaTheme="majorEastAsia"/>
          <w:color w:val="auto"/>
          <w:sz w:val="21"/>
          <w:szCs w:val="21"/>
          <w:highlight w:val="none"/>
        </w:rPr>
        <w:t>谈判文件</w:t>
      </w:r>
      <w:r>
        <w:rPr>
          <w:rFonts w:hint="eastAsia" w:ascii="宋体" w:hAnsi="宋体" w:cs="宋体"/>
          <w:bCs/>
          <w:color w:val="auto"/>
          <w:sz w:val="21"/>
          <w:szCs w:val="21"/>
          <w:highlight w:val="none"/>
        </w:rPr>
        <w:t>、招标过程、中标结果使自己的权益受到损害的，可以在知道或者应知其权益受到损害之日起7个工作日内，通过书面材料向</w:t>
      </w:r>
      <w:r>
        <w:rPr>
          <w:rFonts w:hint="eastAsia" w:ascii="宋体" w:hAnsi="宋体" w:cs="宋体"/>
          <w:color w:val="auto"/>
          <w:sz w:val="21"/>
          <w:szCs w:val="21"/>
          <w:highlight w:val="none"/>
        </w:rPr>
        <w:t>代理机构</w:t>
      </w:r>
      <w:r>
        <w:rPr>
          <w:rFonts w:hint="eastAsia" w:ascii="宋体" w:hAnsi="宋体" w:cs="宋体"/>
          <w:bCs/>
          <w:color w:val="auto"/>
          <w:sz w:val="21"/>
          <w:szCs w:val="21"/>
          <w:highlight w:val="none"/>
        </w:rPr>
        <w:t>提出质疑。响应人应知其权益受到损害之日，是指：</w:t>
      </w:r>
    </w:p>
    <w:p w14:paraId="005D4F99">
      <w:pPr>
        <w:snapToGrid w:val="0"/>
        <w:spacing w:line="400" w:lineRule="exact"/>
        <w:ind w:firstLine="840" w:firstLineChars="400"/>
        <w:rPr>
          <w:rFonts w:ascii="宋体" w:hAnsi="宋体" w:cs="宋体"/>
          <w:bCs/>
          <w:color w:val="auto"/>
          <w:sz w:val="21"/>
          <w:szCs w:val="21"/>
          <w:highlight w:val="none"/>
        </w:rPr>
      </w:pPr>
      <w:r>
        <w:rPr>
          <w:rFonts w:hint="eastAsia" w:ascii="宋体" w:hAnsi="宋体" w:cs="宋体"/>
          <w:bCs/>
          <w:color w:val="auto"/>
          <w:sz w:val="21"/>
          <w:szCs w:val="21"/>
          <w:highlight w:val="none"/>
        </w:rPr>
        <w:t>a.对</w:t>
      </w:r>
      <w:r>
        <w:rPr>
          <w:rFonts w:hint="eastAsia" w:cs="宋体" w:asciiTheme="majorEastAsia" w:hAnsiTheme="majorEastAsia" w:eastAsiaTheme="majorEastAsia"/>
          <w:color w:val="auto"/>
          <w:sz w:val="21"/>
          <w:szCs w:val="21"/>
          <w:highlight w:val="none"/>
        </w:rPr>
        <w:t>谈判文件</w:t>
      </w:r>
      <w:r>
        <w:rPr>
          <w:rFonts w:hint="eastAsia" w:ascii="宋体" w:hAnsi="宋体" w:cs="宋体"/>
          <w:bCs/>
          <w:color w:val="auto"/>
          <w:sz w:val="21"/>
          <w:szCs w:val="21"/>
          <w:highlight w:val="none"/>
        </w:rPr>
        <w:t>提出质疑的，在满足25.2第（1）条款的前提下，为获取谈判文件之日或者</w:t>
      </w:r>
      <w:r>
        <w:rPr>
          <w:rFonts w:hint="eastAsia" w:cs="宋体" w:asciiTheme="majorEastAsia" w:hAnsiTheme="majorEastAsia" w:eastAsiaTheme="majorEastAsia"/>
          <w:color w:val="auto"/>
          <w:sz w:val="21"/>
          <w:szCs w:val="21"/>
          <w:highlight w:val="none"/>
        </w:rPr>
        <w:t>谈判文件</w:t>
      </w:r>
      <w:r>
        <w:rPr>
          <w:rFonts w:hint="eastAsia" w:ascii="宋体" w:hAnsi="宋体" w:cs="宋体"/>
          <w:bCs/>
          <w:color w:val="auto"/>
          <w:sz w:val="21"/>
          <w:szCs w:val="21"/>
          <w:highlight w:val="none"/>
        </w:rPr>
        <w:t>公告期限届满之日；</w:t>
      </w:r>
    </w:p>
    <w:p w14:paraId="394C4F4F">
      <w:pPr>
        <w:snapToGrid w:val="0"/>
        <w:spacing w:line="400" w:lineRule="exact"/>
        <w:ind w:firstLine="840" w:firstLineChars="400"/>
        <w:rPr>
          <w:rFonts w:ascii="宋体" w:hAnsi="宋体" w:cs="宋体"/>
          <w:bCs/>
          <w:color w:val="auto"/>
          <w:sz w:val="21"/>
          <w:szCs w:val="21"/>
          <w:highlight w:val="none"/>
        </w:rPr>
      </w:pPr>
      <w:r>
        <w:rPr>
          <w:rFonts w:hint="eastAsia" w:ascii="宋体" w:hAnsi="宋体" w:cs="宋体"/>
          <w:bCs/>
          <w:color w:val="auto"/>
          <w:sz w:val="21"/>
          <w:szCs w:val="21"/>
          <w:highlight w:val="none"/>
        </w:rPr>
        <w:t>b.对招标过程提出质疑的，为各招标程序环节结束之日；</w:t>
      </w:r>
    </w:p>
    <w:p w14:paraId="365ED15B">
      <w:pPr>
        <w:snapToGrid w:val="0"/>
        <w:spacing w:line="400" w:lineRule="exact"/>
        <w:ind w:firstLine="840" w:firstLineChars="400"/>
        <w:rPr>
          <w:rFonts w:ascii="宋体" w:hAnsi="宋体" w:cs="宋体"/>
          <w:bCs/>
          <w:color w:val="auto"/>
          <w:sz w:val="21"/>
          <w:szCs w:val="21"/>
          <w:highlight w:val="none"/>
        </w:rPr>
      </w:pPr>
      <w:r>
        <w:rPr>
          <w:rFonts w:hint="eastAsia" w:ascii="宋体" w:hAnsi="宋体" w:cs="宋体"/>
          <w:bCs/>
          <w:color w:val="auto"/>
          <w:sz w:val="21"/>
          <w:szCs w:val="21"/>
          <w:highlight w:val="none"/>
        </w:rPr>
        <w:t>c.对中标结果提出质疑的，为中标结果公告期限届满之日。</w:t>
      </w:r>
    </w:p>
    <w:p w14:paraId="7E1B0B3A">
      <w:pPr>
        <w:snapToGrid w:val="0"/>
        <w:spacing w:line="400" w:lineRule="exact"/>
        <w:ind w:firstLine="840" w:firstLineChars="400"/>
        <w:rPr>
          <w:rFonts w:ascii="宋体" w:hAnsi="宋体" w:cs="宋体"/>
          <w:bCs/>
          <w:color w:val="auto"/>
          <w:sz w:val="21"/>
          <w:szCs w:val="21"/>
          <w:highlight w:val="none"/>
        </w:rPr>
      </w:pPr>
      <w:r>
        <w:rPr>
          <w:rFonts w:hint="eastAsia" w:ascii="宋体" w:hAnsi="宋体" w:cs="宋体"/>
          <w:bCs/>
          <w:color w:val="auto"/>
          <w:sz w:val="21"/>
          <w:szCs w:val="21"/>
          <w:highlight w:val="none"/>
        </w:rPr>
        <w:t>响应人（潜在响应人）针对同一采购程序环节的质疑须一次性提出。</w:t>
      </w:r>
    </w:p>
    <w:p w14:paraId="67CB9694">
      <w:pPr>
        <w:snapToGrid w:val="0"/>
        <w:spacing w:line="400" w:lineRule="exact"/>
        <w:ind w:firstLine="420" w:firstLineChars="200"/>
        <w:rPr>
          <w:rFonts w:ascii="宋体" w:hAnsi="宋体" w:cs="宋体"/>
          <w:bCs/>
          <w:color w:val="auto"/>
          <w:sz w:val="21"/>
          <w:szCs w:val="21"/>
          <w:highlight w:val="none"/>
        </w:rPr>
      </w:pPr>
      <w:r>
        <w:rPr>
          <w:rFonts w:hint="eastAsia" w:ascii="宋体" w:hAnsi="宋体" w:cs="宋体"/>
          <w:bCs/>
          <w:color w:val="auto"/>
          <w:sz w:val="21"/>
          <w:szCs w:val="21"/>
          <w:highlight w:val="none"/>
        </w:rPr>
        <w:t>（3）提出质疑的响应人（潜在响应人）应当是参与所质疑项目采购活动的供应商，潜在响应人已依法获取其可质疑的</w:t>
      </w:r>
      <w:r>
        <w:rPr>
          <w:rFonts w:hint="eastAsia" w:cs="宋体" w:asciiTheme="majorEastAsia" w:hAnsiTheme="majorEastAsia" w:eastAsiaTheme="majorEastAsia"/>
          <w:color w:val="auto"/>
          <w:sz w:val="21"/>
          <w:szCs w:val="21"/>
          <w:highlight w:val="none"/>
        </w:rPr>
        <w:t>谈判文件</w:t>
      </w:r>
      <w:r>
        <w:rPr>
          <w:rFonts w:hint="eastAsia" w:ascii="宋体" w:hAnsi="宋体" w:cs="宋体"/>
          <w:bCs/>
          <w:color w:val="auto"/>
          <w:sz w:val="21"/>
          <w:szCs w:val="21"/>
          <w:highlight w:val="none"/>
        </w:rPr>
        <w:t>的，可以对该文件提出质疑。</w:t>
      </w:r>
    </w:p>
    <w:p w14:paraId="298B4AB5">
      <w:pPr>
        <w:snapToGrid w:val="0"/>
        <w:spacing w:line="400" w:lineRule="exact"/>
        <w:ind w:firstLine="420" w:firstLineChars="200"/>
        <w:rPr>
          <w:rFonts w:ascii="宋体" w:hAnsi="宋体" w:cs="宋体"/>
          <w:bCs/>
          <w:color w:val="auto"/>
          <w:sz w:val="21"/>
          <w:szCs w:val="21"/>
          <w:highlight w:val="none"/>
        </w:rPr>
      </w:pPr>
      <w:r>
        <w:rPr>
          <w:rFonts w:hint="eastAsia" w:ascii="宋体" w:hAnsi="宋体" w:cs="宋体"/>
          <w:bCs/>
          <w:color w:val="auto"/>
          <w:sz w:val="21"/>
          <w:szCs w:val="21"/>
          <w:highlight w:val="none"/>
        </w:rPr>
        <w:t>（4）响应人（潜在响应人）提出质疑应当提交质疑函和必要的证明材料。质疑函应当包括下列内容：</w:t>
      </w:r>
    </w:p>
    <w:p w14:paraId="72180552">
      <w:pPr>
        <w:snapToGrid w:val="0"/>
        <w:spacing w:line="400" w:lineRule="exact"/>
        <w:ind w:firstLine="840" w:firstLineChars="400"/>
        <w:rPr>
          <w:rFonts w:ascii="宋体" w:hAnsi="宋体" w:cs="宋体"/>
          <w:bCs/>
          <w:color w:val="auto"/>
          <w:sz w:val="21"/>
          <w:szCs w:val="21"/>
          <w:highlight w:val="none"/>
        </w:rPr>
      </w:pPr>
      <w:r>
        <w:rPr>
          <w:rFonts w:hint="eastAsia" w:ascii="宋体" w:hAnsi="宋体" w:cs="宋体"/>
          <w:bCs/>
          <w:color w:val="auto"/>
          <w:sz w:val="21"/>
          <w:szCs w:val="21"/>
          <w:highlight w:val="none"/>
        </w:rPr>
        <w:t>a.响应人（潜在响应人）的姓名或者名称、地址、邮编、联系人及联系电话；</w:t>
      </w:r>
    </w:p>
    <w:p w14:paraId="5637527A">
      <w:pPr>
        <w:snapToGrid w:val="0"/>
        <w:spacing w:line="400" w:lineRule="exact"/>
        <w:ind w:firstLine="840" w:firstLineChars="400"/>
        <w:rPr>
          <w:rFonts w:ascii="宋体" w:hAnsi="宋体" w:cs="宋体"/>
          <w:bCs/>
          <w:color w:val="auto"/>
          <w:sz w:val="21"/>
          <w:szCs w:val="21"/>
          <w:highlight w:val="none"/>
        </w:rPr>
      </w:pPr>
      <w:r>
        <w:rPr>
          <w:rFonts w:hint="eastAsia" w:ascii="宋体" w:hAnsi="宋体" w:cs="宋体"/>
          <w:bCs/>
          <w:color w:val="auto"/>
          <w:sz w:val="21"/>
          <w:szCs w:val="21"/>
          <w:highlight w:val="none"/>
        </w:rPr>
        <w:t>b.质疑项目的名称、编号；</w:t>
      </w:r>
    </w:p>
    <w:p w14:paraId="626291F5">
      <w:pPr>
        <w:snapToGrid w:val="0"/>
        <w:spacing w:line="400" w:lineRule="exact"/>
        <w:ind w:firstLine="840" w:firstLineChars="400"/>
        <w:rPr>
          <w:rFonts w:ascii="宋体" w:hAnsi="宋体" w:cs="宋体"/>
          <w:bCs/>
          <w:color w:val="auto"/>
          <w:sz w:val="21"/>
          <w:szCs w:val="21"/>
          <w:highlight w:val="none"/>
        </w:rPr>
      </w:pPr>
      <w:r>
        <w:rPr>
          <w:rFonts w:hint="eastAsia" w:ascii="宋体" w:hAnsi="宋体" w:cs="宋体"/>
          <w:bCs/>
          <w:color w:val="auto"/>
          <w:sz w:val="21"/>
          <w:szCs w:val="21"/>
          <w:highlight w:val="none"/>
        </w:rPr>
        <w:t>c.具体、明确的质疑事项和与质疑事项相关的请求；</w:t>
      </w:r>
    </w:p>
    <w:p w14:paraId="2C6EED59">
      <w:pPr>
        <w:snapToGrid w:val="0"/>
        <w:spacing w:line="400" w:lineRule="exact"/>
        <w:ind w:firstLine="840" w:firstLineChars="400"/>
        <w:rPr>
          <w:rFonts w:ascii="宋体" w:hAnsi="宋体" w:cs="宋体"/>
          <w:bCs/>
          <w:color w:val="auto"/>
          <w:sz w:val="21"/>
          <w:szCs w:val="21"/>
          <w:highlight w:val="none"/>
        </w:rPr>
      </w:pPr>
      <w:r>
        <w:rPr>
          <w:rFonts w:hint="eastAsia" w:ascii="宋体" w:hAnsi="宋体" w:cs="宋体"/>
          <w:bCs/>
          <w:color w:val="auto"/>
          <w:sz w:val="21"/>
          <w:szCs w:val="21"/>
          <w:highlight w:val="none"/>
        </w:rPr>
        <w:t>d.事实依据；</w:t>
      </w:r>
    </w:p>
    <w:p w14:paraId="629A5498">
      <w:pPr>
        <w:snapToGrid w:val="0"/>
        <w:spacing w:line="400" w:lineRule="exact"/>
        <w:ind w:firstLine="840" w:firstLineChars="400"/>
        <w:rPr>
          <w:rFonts w:ascii="宋体" w:hAnsi="宋体" w:cs="宋体"/>
          <w:bCs/>
          <w:color w:val="auto"/>
          <w:sz w:val="21"/>
          <w:szCs w:val="21"/>
          <w:highlight w:val="none"/>
        </w:rPr>
      </w:pPr>
      <w:r>
        <w:rPr>
          <w:rFonts w:hint="eastAsia" w:ascii="宋体" w:hAnsi="宋体" w:cs="宋体"/>
          <w:bCs/>
          <w:color w:val="auto"/>
          <w:sz w:val="21"/>
          <w:szCs w:val="21"/>
          <w:highlight w:val="none"/>
        </w:rPr>
        <w:t>e.必要的法律依据；</w:t>
      </w:r>
    </w:p>
    <w:p w14:paraId="1BF9962D">
      <w:pPr>
        <w:snapToGrid w:val="0"/>
        <w:spacing w:line="400" w:lineRule="exact"/>
        <w:ind w:firstLine="840" w:firstLineChars="400"/>
        <w:rPr>
          <w:rFonts w:ascii="宋体" w:hAnsi="宋体" w:cs="宋体"/>
          <w:bCs/>
          <w:color w:val="auto"/>
          <w:sz w:val="21"/>
          <w:szCs w:val="21"/>
          <w:highlight w:val="none"/>
        </w:rPr>
      </w:pPr>
      <w:r>
        <w:rPr>
          <w:rFonts w:hint="eastAsia" w:ascii="宋体" w:hAnsi="宋体" w:cs="宋体"/>
          <w:bCs/>
          <w:color w:val="auto"/>
          <w:sz w:val="21"/>
          <w:szCs w:val="21"/>
          <w:highlight w:val="none"/>
        </w:rPr>
        <w:t>f.提出质疑的日期。</w:t>
      </w:r>
    </w:p>
    <w:p w14:paraId="2FB4872D">
      <w:pPr>
        <w:snapToGrid w:val="0"/>
        <w:spacing w:line="400" w:lineRule="exact"/>
        <w:ind w:firstLine="630" w:firstLineChars="300"/>
        <w:rPr>
          <w:rFonts w:ascii="宋体" w:hAnsi="宋体" w:cs="宋体"/>
          <w:b/>
          <w:color w:val="auto"/>
          <w:sz w:val="21"/>
          <w:szCs w:val="21"/>
          <w:highlight w:val="none"/>
        </w:rPr>
      </w:pPr>
      <w:r>
        <w:rPr>
          <w:rFonts w:hint="eastAsia" w:ascii="宋体" w:hAnsi="宋体" w:cs="宋体"/>
          <w:bCs/>
          <w:color w:val="auto"/>
          <w:sz w:val="21"/>
          <w:szCs w:val="21"/>
          <w:highlight w:val="none"/>
        </w:rPr>
        <w:t>响应人（潜在响应人）为自然人的，应当由本人签字；响应人（潜在响应人）为法人或者其他组织的，应当由法定代表人</w:t>
      </w:r>
      <w:r>
        <w:rPr>
          <w:rFonts w:hint="eastAsia" w:ascii="宋体" w:hAnsi="宋体" w:cs="宋体"/>
          <w:color w:val="auto"/>
          <w:sz w:val="21"/>
          <w:szCs w:val="21"/>
          <w:highlight w:val="none"/>
        </w:rPr>
        <w:t>（负责人）</w:t>
      </w:r>
      <w:r>
        <w:rPr>
          <w:rFonts w:hint="eastAsia" w:ascii="宋体" w:hAnsi="宋体" w:cs="宋体"/>
          <w:bCs/>
          <w:color w:val="auto"/>
          <w:sz w:val="21"/>
          <w:szCs w:val="21"/>
          <w:highlight w:val="none"/>
        </w:rPr>
        <w:t>、主要负责人，或者其授权代表签字或者盖名章，并加盖公章。质疑函内容有缺失的，</w:t>
      </w:r>
      <w:r>
        <w:rPr>
          <w:rFonts w:hint="eastAsia" w:ascii="宋体" w:hAnsi="宋体" w:cs="宋体"/>
          <w:color w:val="auto"/>
          <w:sz w:val="21"/>
          <w:szCs w:val="21"/>
          <w:highlight w:val="none"/>
        </w:rPr>
        <w:t>代理机构</w:t>
      </w:r>
      <w:r>
        <w:rPr>
          <w:rFonts w:hint="eastAsia" w:ascii="宋体" w:hAnsi="宋体" w:cs="宋体"/>
          <w:bCs/>
          <w:color w:val="auto"/>
          <w:sz w:val="21"/>
          <w:szCs w:val="21"/>
          <w:highlight w:val="none"/>
        </w:rPr>
        <w:t>、采购人应当一次性告知质疑人需补全的材料及补交的截止时间。补交的截止时间与法定质疑期的截止时间一致。质疑人于截止时间后递交补充材料的，将被拒绝</w:t>
      </w:r>
      <w:r>
        <w:rPr>
          <w:rFonts w:hint="eastAsia" w:ascii="宋体" w:hAnsi="宋体" w:cs="宋体"/>
          <w:b/>
          <w:color w:val="auto"/>
          <w:sz w:val="21"/>
          <w:szCs w:val="21"/>
          <w:highlight w:val="none"/>
        </w:rPr>
        <w:t>。</w:t>
      </w:r>
    </w:p>
    <w:p w14:paraId="44550904">
      <w:pPr>
        <w:snapToGrid w:val="0"/>
        <w:spacing w:line="400" w:lineRule="exact"/>
        <w:ind w:firstLine="420" w:firstLineChars="200"/>
        <w:rPr>
          <w:rFonts w:ascii="宋体" w:hAnsi="宋体" w:cs="宋体"/>
          <w:bCs/>
          <w:color w:val="auto"/>
          <w:sz w:val="21"/>
          <w:szCs w:val="21"/>
          <w:highlight w:val="none"/>
        </w:rPr>
      </w:pPr>
      <w:r>
        <w:rPr>
          <w:rFonts w:hint="eastAsia" w:ascii="宋体" w:hAnsi="宋体" w:cs="宋体"/>
          <w:bCs/>
          <w:color w:val="auto"/>
          <w:sz w:val="21"/>
          <w:szCs w:val="21"/>
          <w:highlight w:val="none"/>
        </w:rPr>
        <w:t>（5）质疑事项如无实质内容，仅为询问质疑人得分情况或质疑人未中标原因等的，</w:t>
      </w:r>
      <w:r>
        <w:rPr>
          <w:rFonts w:hint="eastAsia" w:ascii="宋体" w:hAnsi="宋体" w:cs="宋体"/>
          <w:color w:val="auto"/>
          <w:sz w:val="21"/>
          <w:szCs w:val="21"/>
          <w:highlight w:val="none"/>
        </w:rPr>
        <w:t>代理机构</w:t>
      </w:r>
      <w:r>
        <w:rPr>
          <w:rFonts w:hint="eastAsia" w:ascii="宋体" w:hAnsi="宋体" w:cs="宋体"/>
          <w:bCs/>
          <w:color w:val="auto"/>
          <w:sz w:val="21"/>
          <w:szCs w:val="21"/>
          <w:highlight w:val="none"/>
        </w:rPr>
        <w:t>、采购人可将此类质疑函作为书面询问接收，</w:t>
      </w:r>
      <w:r>
        <w:rPr>
          <w:rFonts w:hint="eastAsia" w:ascii="宋体" w:hAnsi="宋体" w:cs="宋体"/>
          <w:color w:val="auto"/>
          <w:sz w:val="21"/>
          <w:szCs w:val="21"/>
          <w:highlight w:val="none"/>
        </w:rPr>
        <w:t>代理机构</w:t>
      </w:r>
      <w:r>
        <w:rPr>
          <w:rFonts w:hint="eastAsia" w:ascii="宋体" w:hAnsi="宋体" w:cs="宋体"/>
          <w:bCs/>
          <w:color w:val="auto"/>
          <w:sz w:val="21"/>
          <w:szCs w:val="21"/>
          <w:highlight w:val="none"/>
        </w:rPr>
        <w:t>按询问程序处理。</w:t>
      </w:r>
    </w:p>
    <w:p w14:paraId="2A1AD16B">
      <w:pPr>
        <w:snapToGrid w:val="0"/>
        <w:spacing w:line="400" w:lineRule="exact"/>
        <w:ind w:firstLine="420" w:firstLineChars="200"/>
        <w:rPr>
          <w:rFonts w:ascii="宋体" w:hAnsi="宋体" w:cs="宋体"/>
          <w:bCs/>
          <w:color w:val="auto"/>
          <w:sz w:val="21"/>
          <w:szCs w:val="21"/>
          <w:highlight w:val="none"/>
        </w:rPr>
      </w:pPr>
      <w:r>
        <w:rPr>
          <w:rFonts w:hint="eastAsia" w:ascii="宋体" w:hAnsi="宋体" w:cs="宋体"/>
          <w:bCs/>
          <w:color w:val="auto"/>
          <w:sz w:val="21"/>
          <w:szCs w:val="21"/>
          <w:highlight w:val="none"/>
        </w:rPr>
        <w:t>（6）采购人、</w:t>
      </w:r>
      <w:r>
        <w:rPr>
          <w:rFonts w:hint="eastAsia" w:ascii="宋体" w:hAnsi="宋体" w:cs="宋体"/>
          <w:color w:val="auto"/>
          <w:sz w:val="21"/>
          <w:szCs w:val="21"/>
          <w:highlight w:val="none"/>
        </w:rPr>
        <w:t>代理机构</w:t>
      </w:r>
      <w:r>
        <w:rPr>
          <w:rFonts w:hint="eastAsia" w:ascii="宋体" w:hAnsi="宋体" w:cs="宋体"/>
          <w:bCs/>
          <w:color w:val="auto"/>
          <w:sz w:val="21"/>
          <w:szCs w:val="21"/>
          <w:highlight w:val="none"/>
        </w:rPr>
        <w:t>不得拒收质疑供应商在法定质疑期内发出的质疑函，应当在收到质疑函后7个工作日内作出答复，并通过书面答复质疑供应商和其他相关当事人。</w:t>
      </w:r>
    </w:p>
    <w:p w14:paraId="08B13FE5">
      <w:pPr>
        <w:snapToGrid w:val="0"/>
        <w:spacing w:line="400" w:lineRule="exact"/>
        <w:ind w:firstLine="422" w:firstLineChars="200"/>
        <w:rPr>
          <w:rFonts w:ascii="宋体" w:hAnsi="宋体" w:cs="宋体"/>
          <w:b/>
          <w:color w:val="auto"/>
          <w:sz w:val="21"/>
          <w:szCs w:val="21"/>
          <w:highlight w:val="none"/>
        </w:rPr>
      </w:pPr>
      <w:r>
        <w:rPr>
          <w:rFonts w:hint="eastAsia" w:ascii="宋体" w:hAnsi="宋体" w:cs="宋体"/>
          <w:b/>
          <w:color w:val="auto"/>
          <w:sz w:val="21"/>
          <w:szCs w:val="21"/>
          <w:highlight w:val="none"/>
        </w:rPr>
        <w:t>25.3投诉</w:t>
      </w:r>
    </w:p>
    <w:p w14:paraId="201FF70D">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bCs/>
          <w:color w:val="auto"/>
          <w:sz w:val="21"/>
          <w:szCs w:val="21"/>
          <w:highlight w:val="none"/>
        </w:rPr>
        <w:t>质疑人对采购人、</w:t>
      </w:r>
      <w:r>
        <w:rPr>
          <w:rFonts w:hint="eastAsia" w:ascii="宋体" w:hAnsi="宋体" w:cs="宋体"/>
          <w:color w:val="auto"/>
          <w:sz w:val="21"/>
          <w:szCs w:val="21"/>
          <w:highlight w:val="none"/>
        </w:rPr>
        <w:t>代理机构</w:t>
      </w:r>
      <w:r>
        <w:rPr>
          <w:rFonts w:hint="eastAsia" w:ascii="宋体" w:hAnsi="宋体" w:cs="宋体"/>
          <w:bCs/>
          <w:color w:val="auto"/>
          <w:sz w:val="21"/>
          <w:szCs w:val="21"/>
          <w:highlight w:val="none"/>
        </w:rPr>
        <w:t>的答复不满意，或者</w:t>
      </w:r>
      <w:r>
        <w:rPr>
          <w:rFonts w:hint="eastAsia" w:ascii="宋体" w:hAnsi="宋体" w:cs="宋体"/>
          <w:color w:val="auto"/>
          <w:sz w:val="21"/>
          <w:szCs w:val="21"/>
          <w:highlight w:val="none"/>
        </w:rPr>
        <w:t>代理机构</w:t>
      </w:r>
      <w:r>
        <w:rPr>
          <w:rFonts w:hint="eastAsia" w:ascii="宋体" w:hAnsi="宋体" w:cs="宋体"/>
          <w:bCs/>
          <w:color w:val="auto"/>
          <w:sz w:val="21"/>
          <w:szCs w:val="21"/>
          <w:highlight w:val="none"/>
        </w:rPr>
        <w:t>、</w:t>
      </w:r>
      <w:r>
        <w:rPr>
          <w:rFonts w:hint="eastAsia" w:ascii="宋体" w:hAnsi="宋体" w:cs="宋体"/>
          <w:color w:val="auto"/>
          <w:sz w:val="21"/>
          <w:szCs w:val="21"/>
          <w:highlight w:val="none"/>
        </w:rPr>
        <w:t>采购人</w:t>
      </w:r>
      <w:r>
        <w:rPr>
          <w:rFonts w:hint="eastAsia" w:ascii="宋体" w:hAnsi="宋体" w:cs="宋体"/>
          <w:bCs/>
          <w:color w:val="auto"/>
          <w:sz w:val="21"/>
          <w:szCs w:val="21"/>
          <w:highlight w:val="none"/>
        </w:rPr>
        <w:t>未在规定时间内作出答复的，</w:t>
      </w:r>
      <w:r>
        <w:rPr>
          <w:rFonts w:hint="eastAsia" w:ascii="宋体" w:hAnsi="宋体" w:cs="宋体"/>
          <w:color w:val="auto"/>
          <w:sz w:val="21"/>
          <w:szCs w:val="21"/>
          <w:highlight w:val="none"/>
        </w:rPr>
        <w:t>质疑人可以在答复期满后15个工作日内依法向相关部门提起投诉。</w:t>
      </w:r>
    </w:p>
    <w:p w14:paraId="56389047">
      <w:pPr>
        <w:snapToGrid w:val="0"/>
        <w:spacing w:line="400" w:lineRule="exact"/>
        <w:rPr>
          <w:rFonts w:ascii="宋体" w:hAnsi="宋体" w:cs="宋体"/>
          <w:b/>
          <w:color w:val="auto"/>
          <w:sz w:val="21"/>
          <w:szCs w:val="21"/>
          <w:highlight w:val="none"/>
        </w:rPr>
      </w:pPr>
      <w:r>
        <w:rPr>
          <w:rFonts w:hint="eastAsia" w:ascii="宋体" w:hAnsi="宋体" w:cs="宋体"/>
          <w:b/>
          <w:color w:val="auto"/>
          <w:sz w:val="21"/>
          <w:szCs w:val="21"/>
          <w:highlight w:val="none"/>
        </w:rPr>
        <w:t>二十六、保密和披露</w:t>
      </w:r>
    </w:p>
    <w:p w14:paraId="11622D82">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26.1响应人自获取</w:t>
      </w:r>
      <w:r>
        <w:rPr>
          <w:rFonts w:hint="eastAsia" w:cs="宋体" w:asciiTheme="majorEastAsia" w:hAnsiTheme="majorEastAsia" w:eastAsiaTheme="majorEastAsia"/>
          <w:color w:val="auto"/>
          <w:sz w:val="21"/>
          <w:szCs w:val="21"/>
          <w:highlight w:val="none"/>
        </w:rPr>
        <w:t>谈判文件</w:t>
      </w:r>
      <w:r>
        <w:rPr>
          <w:rFonts w:hint="eastAsia" w:ascii="宋体" w:hAnsi="宋体" w:cs="宋体"/>
          <w:color w:val="auto"/>
          <w:sz w:val="21"/>
          <w:szCs w:val="21"/>
          <w:highlight w:val="none"/>
        </w:rPr>
        <w:t>之日起，须履行本招标项目下保密义务，不得将因本次招标获得的信息向第三人外传。</w:t>
      </w:r>
    </w:p>
    <w:p w14:paraId="1ECDA0DC">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26.2采购人或代理机构有权将响应人提供的所有资料向有关部门或评审委员会披露。</w:t>
      </w:r>
    </w:p>
    <w:p w14:paraId="603300E5">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26.3在采购人或代理机构认为适当时、国家机关调查、审查、审计时以及其他符合法律规定的情形下，采购人或代理机构无须事先征求响应人同意而可以披露关于采购过程、合同文本、签署情况的资料、响应人的名称及地址、响应文件的有关信息以及补充条款等，但应当在合理的必要范围内。对任何已经公布过的内容或与之内容相同的资料，以及响应人已经泄露或公开的，无须再承担保密责任。</w:t>
      </w:r>
    </w:p>
    <w:p w14:paraId="12DF1287">
      <w:pPr>
        <w:rPr>
          <w:rFonts w:ascii="宋体" w:hAnsi="宋体" w:cs="宋体"/>
          <w:b/>
          <w:bCs/>
          <w:color w:val="auto"/>
          <w:sz w:val="24"/>
          <w:szCs w:val="24"/>
          <w:highlight w:val="none"/>
        </w:rPr>
        <w:sectPr>
          <w:footerReference r:id="rId3" w:type="default"/>
          <w:pgSz w:w="11906" w:h="16838"/>
          <w:pgMar w:top="1134" w:right="1134" w:bottom="1134" w:left="1134" w:header="851" w:footer="992" w:gutter="0"/>
          <w:cols w:space="720" w:num="1"/>
          <w:docGrid w:type="lines" w:linePitch="312" w:charSpace="0"/>
        </w:sectPr>
      </w:pPr>
    </w:p>
    <w:p w14:paraId="6F1C5D43">
      <w:pPr>
        <w:spacing w:line="400" w:lineRule="exact"/>
        <w:jc w:val="center"/>
        <w:outlineLvl w:val="0"/>
        <w:rPr>
          <w:rFonts w:ascii="宋体" w:hAnsi="宋体" w:cs="宋体"/>
          <w:b/>
          <w:bCs/>
          <w:color w:val="auto"/>
          <w:sz w:val="24"/>
          <w:szCs w:val="24"/>
          <w:highlight w:val="none"/>
        </w:rPr>
      </w:pPr>
      <w:r>
        <w:rPr>
          <w:rFonts w:hint="eastAsia" w:ascii="宋体" w:hAnsi="宋体" w:cs="宋体"/>
          <w:b/>
          <w:bCs/>
          <w:color w:val="auto"/>
          <w:sz w:val="24"/>
          <w:szCs w:val="24"/>
          <w:highlight w:val="none"/>
        </w:rPr>
        <w:t>第四部分  项目需求</w:t>
      </w:r>
    </w:p>
    <w:p w14:paraId="3A9379A6">
      <w:pPr>
        <w:pStyle w:val="3"/>
        <w:numPr>
          <w:ilvl w:val="0"/>
          <w:numId w:val="1"/>
        </w:numPr>
        <w:bidi w:val="0"/>
        <w:ind w:left="425" w:leftChars="0" w:hanging="425" w:firstLineChars="0"/>
        <w:rPr>
          <w:rFonts w:hint="default"/>
          <w:color w:val="auto"/>
          <w:lang w:val="en-US" w:eastAsia="zh-CN"/>
        </w:rPr>
      </w:pPr>
      <w:r>
        <w:rPr>
          <w:rFonts w:hint="eastAsia"/>
          <w:color w:val="auto"/>
          <w:lang w:val="en-US" w:eastAsia="zh-CN"/>
        </w:rPr>
        <w:t>设备清单</w:t>
      </w:r>
    </w:p>
    <w:tbl>
      <w:tblPr>
        <w:tblStyle w:val="27"/>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74"/>
        <w:gridCol w:w="5149"/>
        <w:gridCol w:w="1174"/>
        <w:gridCol w:w="1174"/>
        <w:gridCol w:w="1179"/>
      </w:tblGrid>
      <w:tr w14:paraId="41EAD1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D124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序号</w:t>
            </w:r>
          </w:p>
        </w:tc>
        <w:tc>
          <w:tcPr>
            <w:tcW w:w="26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E01B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产品名称</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041A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数量</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C1CA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单价</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DB9F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总价</w:t>
            </w:r>
          </w:p>
        </w:tc>
      </w:tr>
      <w:tr w14:paraId="49002A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EE72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26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03AC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教学实训车</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6027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3CD8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149800</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F57F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149800</w:t>
            </w:r>
          </w:p>
        </w:tc>
      </w:tr>
      <w:tr w14:paraId="096BA8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6085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w:t>
            </w:r>
          </w:p>
        </w:tc>
        <w:tc>
          <w:tcPr>
            <w:tcW w:w="26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4964A">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动力电池总成装调工作平台</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AFDA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2F75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169900</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9D6D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169900</w:t>
            </w:r>
          </w:p>
        </w:tc>
      </w:tr>
      <w:tr w14:paraId="5EF5B3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4398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w:t>
            </w:r>
          </w:p>
        </w:tc>
        <w:tc>
          <w:tcPr>
            <w:tcW w:w="26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50755">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新能源汽车动力总成拆装实训台</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E933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4708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88000</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B788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88000</w:t>
            </w:r>
          </w:p>
        </w:tc>
      </w:tr>
      <w:tr w14:paraId="367CCE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EAB1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4</w:t>
            </w:r>
          </w:p>
        </w:tc>
        <w:tc>
          <w:tcPr>
            <w:tcW w:w="26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975E1">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新能源汽车故障诊断仿真教学系统</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E42A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A392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7000</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B0F8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7000</w:t>
            </w:r>
          </w:p>
        </w:tc>
      </w:tr>
      <w:tr w14:paraId="22E3AB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622B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5</w:t>
            </w:r>
          </w:p>
        </w:tc>
        <w:tc>
          <w:tcPr>
            <w:tcW w:w="26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B4032">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一体化集成工具台</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E801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736E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6000</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78B7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6000</w:t>
            </w:r>
          </w:p>
        </w:tc>
      </w:tr>
      <w:tr w14:paraId="3A7F9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3B4B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6</w:t>
            </w:r>
          </w:p>
        </w:tc>
        <w:tc>
          <w:tcPr>
            <w:tcW w:w="26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7BB55">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万用接线盒</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DB24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683C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700</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2FF5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700</w:t>
            </w:r>
          </w:p>
        </w:tc>
      </w:tr>
      <w:tr w14:paraId="52F9A4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3F47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7</w:t>
            </w:r>
          </w:p>
        </w:tc>
        <w:tc>
          <w:tcPr>
            <w:tcW w:w="26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DCA48">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工位安全保护套装</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CA4D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B4AF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600</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489F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600</w:t>
            </w:r>
          </w:p>
        </w:tc>
      </w:tr>
      <w:tr w14:paraId="646A6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0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507A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合计</w:t>
            </w:r>
          </w:p>
        </w:tc>
        <w:tc>
          <w:tcPr>
            <w:tcW w:w="179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9189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422000</w:t>
            </w:r>
          </w:p>
        </w:tc>
      </w:tr>
    </w:tbl>
    <w:p w14:paraId="73FFC202">
      <w:pPr>
        <w:pStyle w:val="3"/>
        <w:numPr>
          <w:ilvl w:val="0"/>
          <w:numId w:val="1"/>
        </w:numPr>
        <w:bidi w:val="0"/>
        <w:ind w:left="425" w:leftChars="0" w:hanging="425" w:firstLineChars="0"/>
        <w:rPr>
          <w:rFonts w:hint="default"/>
          <w:color w:val="auto"/>
          <w:lang w:val="en-US" w:eastAsia="zh-CN"/>
        </w:rPr>
      </w:pPr>
      <w:r>
        <w:rPr>
          <w:rFonts w:hint="eastAsia"/>
          <w:color w:val="auto"/>
          <w:lang w:val="en-US" w:eastAsia="zh-CN"/>
        </w:rPr>
        <w:t>技术参数</w:t>
      </w:r>
    </w:p>
    <w:tbl>
      <w:tblPr>
        <w:tblStyle w:val="27"/>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96"/>
        <w:gridCol w:w="1277"/>
        <w:gridCol w:w="6702"/>
        <w:gridCol w:w="979"/>
      </w:tblGrid>
      <w:tr w14:paraId="46FE93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9BFD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序号</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72F2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产品名称</w:t>
            </w:r>
          </w:p>
        </w:tc>
        <w:tc>
          <w:tcPr>
            <w:tcW w:w="3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7E29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技术参数</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1BEB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数量</w:t>
            </w:r>
          </w:p>
        </w:tc>
      </w:tr>
      <w:tr w14:paraId="5A7077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EE1F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6292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教学实训车</w:t>
            </w:r>
          </w:p>
        </w:tc>
        <w:tc>
          <w:tcPr>
            <w:tcW w:w="3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A17C4">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一、产品要求</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新能源汽车整车为大赛定制版车型，作为大赛专用车型满足竞赛规程和赛题要求。车辆应满足新能源汽车专业教学要求，可完成新能源汽车维护与动力蓄电池检测、新能源汽车简单故障诊断与排除等实训项目，车辆应包含低压电源系统、高压控制系统、车身电气系统，驾驶辅助系统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二、产品配置要求</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品牌：几何</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级别：紧凑型车</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能源类型：纯电动</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快充电量百分比 ：80</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最大功率：150KW</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最大扭矩：310N.m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长*宽*高：4752*1804*1503mm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车身结构 ：4门5座三厢车</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电动机类型：永磁同步电机</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电池类型：定制版三元锂电池</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电池编码：VR/993310</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电池电量：52.8KWh</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电池额定电压：352V</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电池冷却方式：液冷</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变速箱类型：固定齿比变速箱</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8242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r>
      <w:tr w14:paraId="6CA5FE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9E2B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20F25">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动力电池总成装调工作平台</w:t>
            </w:r>
          </w:p>
        </w:tc>
        <w:tc>
          <w:tcPr>
            <w:tcW w:w="3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EF99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1、产品介绍</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本产品主要为提升学生的电池装配与调试能力而研发，可实现动力蓄电池的装配与调试、单体电池的装配与测量、电池模组的分装与测量、直流充电接口的装配与测量、交流充电接口的装配与测量。</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2、技术特点</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2.1外观结构</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设备主体采用整体结构设计，主体外壳采用≥1.5mm厚冷轧板，严格按钣金加工工艺操作，经酸洗、喷塑；主体框架采用钢结构焊接，表面采用防静电喷涂工艺处理，系统部件通过激光切割和数控加工结构件，装配配置带锁止功能的万向静音脚轮，</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动力蓄电池分装调试工作站配有工具架挂钩、便于工具零部件的收纳与取用。</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动力蓄电池分装调试工作站台面分别设计有不同的功能区域，包括电池焊接工作区、动力蓄电池分装调试工作区、动力蓄电池通电调试区。</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安全防护控制系统:国标86盒尺寸安装，正面国标五孔供电、USB充电1个、丝印定位识别二维码1个。支持额定电流：2A、10A、16A，USB支持最大电压5V、最大电流2A。</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2.2动力蓄电池</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动力蓄电池包含单体电池、电池模组、电流传感器、温度传感器、主正继电器、主负继电器、预充继电器、充电继电器、预充电阻、高压维修开关、快充连接器、慢充连接器、低压接插件、车载充电机检测、直流充电接口、交流充电接口、冷却系统接口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2.3点焊机</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点焊机包括：焊头、工作台、操作与显示系统、气压表、气管接头、电源接头、低压连接器、电源开关。</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点焊机主体采用整体结构设计，主体外壳采用≥1.5mm厚冷轧板，严格按钣金加工工艺操作，经酸洗、喷塑、丝印；主体框架采用钢结构焊接，表面采用防静电喷涂工艺处理，系统部件通过激光切割和数控加工结构件</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3、设备参数</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3.1设备尺寸</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长*宽*高：1700*730*1500mm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3.2 主要部件参数</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（1）BMS电池管理系</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工作电压范围： DC 9～36V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工作温度范围：-40℃~85℃</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储存温度范围：-40℃~125℃</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工作湿度范围(%)：0~95%</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单体电池电压检测范围：0~5V</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单只电池电压采样精度：≤5mV</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单体电池电压采样频率：≤100ms</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总电压检测精度：&lt;1%</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温度测量范围：-40~125℃</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温度检测精度：±1℃</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电流检测范围：≤75A</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（2）车载充电机</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海拔高度：≤3000m 满载输出</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存储环境温度：-40℃～+80℃</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工作环境温度：-20℃～55℃正常工作；55℃～75℃降额输出</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相对湿度：0～95%</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安装环境：无剧烈振动和冲击</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粉尘环境：无导电或爆炸尘埃，没有腐蚀金属和破坏绝缘的气体或蒸气</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规格型号：75V10A</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输入电压：≥220VAC</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工作频率：50/60Hz</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CC、CP功能：有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输出电压：≥75VDC</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输出电流：≤10A</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输出功率：≥800W</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稳压精度：≤1%</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稳流精度：≤1%</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电压纹波（P-P）：≤1%</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工作效率：≥0.93</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输入过压保护值：高于260VAC保护性关机</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输入欠压保护值：低于176VAC不启动</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过温保护值：高于80℃保护关机，低于60℃后可自恢复</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输出过压保护：≥80Vdc</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输出过流保护≥12A</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输出欠压保护：蓄电池组电压低于10V不启动</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输出短路保护：短路后恒流，解除后自恢复</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输出反接保护：反接后不启动，解除后自恢复</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绝缘电阻 输入对输出 DC1000V≥100MΩ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输入对机壳 DC1000V≥100MΩ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输出对机壳 DC1000V≥100MΩ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通讯 CAN 2.0</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辅助电源 ≤12V3A</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散热方式 风冷</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防护等级 IP65</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接插件 航空插头</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工作噪音 ≤60dB</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（3）单体电池</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电压：3.2V</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容量：40AH</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类型：磷酸铁锂</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（4）温度传感器</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常温电阻值：1000Ω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工作温度范围：-40℃~85℃</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储存温度范围：-40℃~125℃</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工作湿度范围(%)：0~95%</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温度检测精度：±1℃</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端子形式:螺栓接线端子</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（5）高压继电器</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触点额定电流：0 - 500A</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线圈电压：9 – 36V</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最大额定工作电压：0 – 2200V</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端子形式：螺栓接线端子</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（6）预充电阻</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电阻阻值：100Ω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电阻功率：100W</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电阻器类别：绕线式电阻器</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封装材料：工业铝材</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引出接线：铁氟龙高温线</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（7）点焊机</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输入电压：220V/50Hz(60Hz)</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输入电流：30A</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输入气源：压缩空气气压7~8Bar</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输出电压：5.5V</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输出功率：12KVA</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输出瞬间电流：1800A</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放电时间：最长20ms/周波</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最大行程：85mm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4、产品功能</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满足单体电池的分档、单体电压和内阻测试；模块拆装、打码、调试与检测；动力蓄电池的拆装、调试与检测；电池极柱焊接；接触器安装；高压连接器安装；热管理系统气密性检测；PACK气密性检测；车载充电机安装与检测、绝缘检测、接地检测；BMS安装、放电测试；直流充电接口装配与充电调试；交流充电接口装配与充电调试等零部件的分装调试，此工作站可以与充电装置分装调试工作站联动测试。</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A437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r>
      <w:tr w14:paraId="1B7BE9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B3E2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580AA">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新能源汽车动力总成拆装实训台</w:t>
            </w:r>
          </w:p>
        </w:tc>
        <w:tc>
          <w:tcPr>
            <w:tcW w:w="3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DD1BA">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一、产品简介</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该实训台围绕新能源车用电机及控制系统定向开发，配套电机控制器及动力电源箱。在实现动力总成拆装实训的同时又可实现车用永磁同步电机运行状态演示及常规信号检测。具有新能源汽车动力总成拆装检测、维修考核的功能。</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二、产品组成</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产品组成：动力总成拆装实训模块、多功能信息采集检测板、设备动力电源模块、三相高压连接线缆、低压通信连接线缆等重要组成件组成。</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三、功能介绍</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1.动力总成拆装实训模块</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（1）电动机类型为三相永磁同步电机，电动机最大输出扭矩310N.m, 额定扭矩160N.m, 最大输入功率160kW，额定功率80kW，最大输出转速12000rpm。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（2）变速器为单挡固定齿比变速器。</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（3）桌面承重采用方管支撑，台面上装有优质不锈钢折弯面板，真不锈钢材质，耐腐蚀，易清洁，受力均匀，桌面下有加厚钢板支撑，承重能力强,不易变形。</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（4）桌面平铺≥5mm厚度绝缘垫，可有效的避免拆装过程中，部件或油污的滑落对台面造成的损伤，同时也可避免各部件间硬接触造成元件损坏。</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（5）平台提供的动力总成完全满足电机绝缘电阻、接地电阻、气密性等检测和调试要求。</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（6）电机正常转动时，可借助示波器测量三相电的相位与旋变传感器的信号。</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7）平台具有电机与变速箱分离丝杆机构、电机定转子分离机构、变速箱360°任意翻转机构以及包括差速器轴承分离等拆装检测工装，实现电机与变速器、变速器各齿轮、差速器轴承等分离、清洁、检测、装配。电动机与变速器分离不需要吊装操作，无事故隐患。</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（8）平台台面四周设计了油槽，齿轮拆卸、清洗、安装时油污直接可以回流到集油装置，保持环境整洁。</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（9）平台采用上下双层结构梁支撑，承重大梁采用重型型材制作而成，安全稳固。平台采用钢质材料，加重阻尼脚轮，可承受不低于1.2吨的有效载荷。</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（10）平台有效解决了学员动力总成拆装与调试的高频率技能训练。</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2.多功能信息采集检测板</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（1）多功能信息采集检测板装有电机低压控制信号输入及输出插头，插头采用新能源原车低压信号插头，轻松实现对旋变传感器、高低压线束拆检。</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（2）多功能信息采集检测板装有低压通讯线缆插座，通过配套低压通信线束完成设备动力电源模块与多功能信息采集检测板之间的低压线路装配与连接。</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（3）设备配套有电机旋变信号和定子温度信号检测点，具有信号波形、阻值等进行诊断与分析的功能。</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3.设备动力电源模块</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（1）设备动力电源模块，模块结构选用坚固冷轧钢板，经过严格的脱脂、酸洗、防锈磷化、纯水清洗、静电喷涂等工艺流程，色泽自然、稳定性高、不易变形、耐水、耐老化。</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（2）配套车规级电机控制器，设备通电后，可动态展示电机正反转状态并实现转速可调，硬件加速、换档等操作增加真实实车操作感。</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（3）平台配有电机线接口、电机旋变传感器接口及地线接口，可方便连接多功能信息采集检测板为电机供电。</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（4）技术平台具有外接电源端口，可采用单相AC220V电源供电，同时控制柜内预留电池供电空间，可实现电机模块的单独运行。</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四、技术参数</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1.电动机类型为三相永磁同步电机，电动机最大输出扭矩310N.m, 额定扭矩160N.m, 最大输入功率160kW，额定功率80kW，最大输出转速12000rpm。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2.变速器为单挡固定齿比变速器。</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3.拆装台外观尺寸(长*宽*高):2000*1050*1100mm。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4.桌面平铺≥5mm厚度绝缘垫，避免拆装过程中部件或油污的滑落对台面造成的损伤，同时也可避免各部件间硬接触造成元件损坏。</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5.控制柜外观尺寸(长*宽*高):480*290*1010mm,柜内装有车规线永磁同步电机控制器，接线简洁，功能可靠，可实现电机正反转速1000以内可调，具有硬件启停、调速功能，控制器输出信号：输入电压、电机电流、电机转速，供电电压：DC72V，总功率小于7KW，配备通讯CAN通信接口。</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6.控制面板采用3mm亚克历背喷工艺，外观美观大方，色彩丰富不褪色，面板上置机械开关及CAN通信接口。</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7.配套提供设备使用手册和原厂维修手册。</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五、可完成实训项目：</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1、永磁同步电机与变速器的分离</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2、永磁同步电机与变速器的组装</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3、输入轴齿轮的分离</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4、输入轴齿轮的装配</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5、副轴齿轮的分离</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6、副轴齿轮的装配</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7、差速器齿轮的分离</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8、差速器齿轮的装配</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9、齿轮组磨损状况</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10、电机定转分离与安装</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11、电机定转子的检测</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12、副轴与差速器工作数据的检测</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六、配套工具</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尼龙棒、电机前轴承/差速器轴承安装工装、电机前轴承拆卸定位块、电机后轴承拆卸定位块、差速器轴承拆卸定位块、转子支撑专用工具、转子拆装导向支架、3轴摆放定位板、后箱体摆放定位板、电机花键手轮、轴承拆装压力机、2或3爪拉马通用、2或3爪拉马通用、2或3爪拉马通用型、轴承拉马、管钳、磁通测试仪、5V电源、三轴轴调整垫片（差速器调整垫片）、差速器半轴拆卸专用接杆、转子托架、转子轴承拆装固定座数量各1。</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F198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r>
      <w:tr w14:paraId="185B84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6F17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4</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2B79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新能源汽车故障诊断仿真教学系统</w:t>
            </w:r>
          </w:p>
        </w:tc>
        <w:tc>
          <w:tcPr>
            <w:tcW w:w="3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20876">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一、产品功能模块</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同时满足学生对大赛流程的学习、训练、考核以及教学需求和完整重现大赛的实际情景，也可以满足故障诊断课程教学功能。</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二、产品功能模块</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1.模式选择模块</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1)模式选择：包括“教学模式”、“训练模式”、“考核模式”</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2.故障设置模块</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1)故障点设置：菜单栏包括“全部”、“已选择故障点”以及各系统故障点等功能。</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2)全部：显示全部故障点。</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3)已选择故障点：对自动选择和手动选择故障点进行展示。</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4)各系统故障点：根据所选故障系统，只选择对应系统故障点，方便用户选择故障点。</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5)手动组卷模式：可以对故障点进行选择和取消选择。</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6)自动组卷模式：可通过设置需要设置的故障点数量，系统随机生成对应数量的故障点。</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7)故障检索：根据输入的关键字对故障点进行模糊筛选，筛选后可针对性的选择故障点进行训练及考核。</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8)故障点内容：包括“车身控制模块（BCM）”、“网关”、“前单目摄像头”、“电池管理系统（BMS）”、“高低压充电系统（ODP）”、“整车控制(VCU)”、“集成动力控制系统（PEU）”等模块，总故障点数量不低于50个。</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3.准备工作模块：</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1)车轮挡块：可对四个轮胎车轮挡块进行放置与回收操作。</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2)车外三件套：可对车辆左右翼子板布、前栅格布进行放置、回收与丢弃操作。</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3)车内四件套：可对车辆方向盘套、座椅套、换挡杆套、脚垫进行仿真、回收、丢弃操作。</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4)警戒线隔离栏：可对入口隔离栏进行打开或关闭操作。</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5)高压警示牌：可在入口处放置或回收高压警示牌。</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6)仪器仪表检查：可在仪器仪表桌上对仪器仪表进行外观检查。</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7)安全防护装备检查：可在安全防护用品桌上对安全帽、绝缘手套、防酸腐手套、棉手套、绝缘鞋、护目镜进行外观破损检查。</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8)灭火器检查：可在车辆后方灭火器摆放区，对灭火器进行外观及压力检查。</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4.车辆操作模块：</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1)车辆控制模块操作目录：目录包含车辆控制、车窗控制、后视镜控制、雨刮控制、灯光控制、遥控器控制、其他控制，模拟车辆实际操作。</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2)车辆控制界面：界面可以随意拖动，方便用户对车辆进行控制与观察车辆。</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3)车辆控制目录折叠：可以将车辆控制目录进行折叠与展开。</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车辆控制操作：车辆控制操作包含，一键启动操作；电子驻车操作，可以解除驻车和驻车；换挡操作，通过选择P、N、R、D档进行切换档位；加速踏板操作，可以调整加速踏板开度；制动踏板操作，可以调整制动踏板开度；方向盘操作，可以调整方向盘转角；喇叭操作，可以按下喇叭。</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5)车窗操作：车窗操作包含驾驶员侧车窗控制和乘客侧车窗控制，驾驶员侧车窗控制，可以对四个车窗进行升、降操作；车窗锁操作，可以锁止或解锁乘客侧车窗按钮。乘客车窗控制操作，乘客可以升、降右前、左后、右后车窗。</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6)后视镜操作：后视镜操作包含激活左侧后视镜调节操作，激活后可以对左后视镜镜片进行调节；激活右侧后视镜调节操作，激活后可以对右后后视镜镜片进行调节；后视镜镜片调节操作，可通过四个方向按就像镜片航向角、俯仰角调整；后视镜加热操作，激活后，可对后视镜进行加热处理；后视镜折叠操作，激活后，可以折叠后视镜。</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7)雨刮操作：雨刮操作可以控制雨刮器档位，只刮一次档位，按下后，雨刮只刮一次；雨刮间歇档，按下后，雨刮间隔一段时间刮一次；雨刮低速档，按下后，雨刮低速不间断的刮；雨刮高速档，按下后，雨刮高速不间断刮；雨刮关闭档，按下后，雨刮停止工作；雨刮喷水，按下后，雨刮器开始喷水，释放后，雨刮停止喷水。</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8)灯光操作：灯光操作包含灯光开关操作、灯光组合开关操作、阅读灯操作，灯光开关可以调整灯光模式，包含关闭灯光、自动灯光档位等；灯光组合开关操作包含左转向灯开关、右转向灯开关、近光灯开关、远光灯开关、超车灯开关。阅读灯操作包含前阅读灯开关、后阅读灯开关。</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9)遥控器操作：遥控器包含解锁后备箱操作、车辆解锁操作、车辆锁止操作。</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10)车辆信息显示：可以模拟车辆仪表界面和显示动态数据。</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11)其他控制：其他控制包含车门锁操作、前机舱盖解锁操作、后备箱解锁操作、后备箱关闭操作等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12)整车工况：可以显示基于数据引擎驱动实现整车在不同工况下的动态数据。</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5.选手报告单模块</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选手报告单内容填写：可对包括“选择可对故障现象描述”、“通过分析得出故障可能原因”、“故障检修过程”、“故障点和故障类型确认”、“故障机理分析”等内容进行填写。可以通过点击对应模块的添加按钮进行内容添加。</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2)选手报告单内容删除：可以对已经填写的单进行单条信息删除操作。删除时进行二次确认，避免误删。</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3)增加工单页：可以通过添加工单按钮来添加新的报告单页。</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4)删除当前页：可以通过点击删除当前页按钮，删除当前页工单。</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5)切换工单：可以通过点击上一页、下一页和工单对应的页码进行工单切换操作。</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6)维修记录工单：可以根据大赛的纸质工单样式和内容转化成电子版。</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6.诊断台架模块：</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1)端子信息：鼠标移入端子后，会显示端子名称，方便用户确定检测的端子点。</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2)端子操作：可以将表笔插入端子。</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3)视角拉近：可以双击非端子区域拉近视角，方便进行表笔连接操作。</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4)面板包括BCM、网关、前单目摄像头、BMS、ODP、VCU、PEU等插头测量孔。</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7.裁判模块：</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请求修复故障：故障排除过程中，如需裁判帮助可选择裁判区视角，通过操作可实现包括：请求裁判恢复故障等功能。同时可进行故障点选择并确认修复故障。故障修复页面可以进行故障点搜索，以方便快速找到故障点。</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2)请求上电：准备工作完成后，可向裁判提出上电请求，裁判会反馈是否可以上电。如果没有请求上电或裁判不允许上电而上电了，将会扣除相对于分数。</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8.举升机模块：</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1)车辆举升：对车辆进行举升或下降。</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2)举升安全提示：如在举升过程中，检测到举升机违规操作，将会做出提示，并扣除安全操作分数。</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9.视角导航模块：</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1)视角地图：根据大赛和整车排故要求。划分裁判区、填写工单区、仪器仪表等设备摆放区、入口通道、整车故障连接检测平台、清理清扫工具摆放区、机舱、车尾部、驾驶室、举升机等区域。</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2)隐藏或显示地图：通过点击底部视角地图关闭或打开按钮进行视角地图隐藏或关闭。</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3)视角导航：可以通过选中区域位置在软件场景中跳转到该区域在整车上的位置。</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10.维修资料模块：</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1)打开维修资料：通过点击场景中电脑，点击查阅，打开维修资料。</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2)关键字搜索：可以通过关键字，例如器件代号进行搜索，快速查询。</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3)上一页、下一页切换：可以通过点击上一页、下一页按钮，进行资料上下翻页。</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4)页码跳转：可以通过输入对应的页码进行页码跳转。</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5)页面缩放：可以通过滚轮或“+”、“-”按钮来缩放页面大小。</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6)页面目录：可以打开或关闭页面目录，方便查阅维修资料。</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7)自动缩放：可以选择自动缩放，自适应调整大小。</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11.评价模块：</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1)智能评价：提交实训任务后，系统会对整个操作进行智能评价。包含综合评价、选手报告单、裁判评分表、故障修复情况、总得分、操作用时、故障修复率等关键信息。</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综合评价：显示选手操作雷达图，包含作业准备、人物安全、设备使用、操作规范、、故障分析、安全操作、5S规范等七个维度。系统评价选手故障诊断结果以及AI训练建议，会根据选手操作情况，智能评估给予训练建议。</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3)报告单：显示选手填写的报告单。</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4)评分表：根据用户操作，虚拟裁判对用户操作进行系统评价，并将每项评价进行打分。每个评分点都有对应的配分和得分。</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5)故障修复情况：显示故障修复结果，主要包含故障设置数量、故障已修复数量、故障修复错误数量、故障未修复数量等。详细显示每个故障修复情况。</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12.器件操作模块：</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1)保险丝操作：可以进行保险丝插拔操作，可以对保险丝进行电阻测量操作。</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2)继电器操作：可以进行继电器拔插操作，可以对继电器进行外接电源进行通断检测。</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3)插头操作：可以断开或连接插头，断开插头后，能对端子进行电阻、电压测量操作。还可以连接插头适配器，方便做在线电压检测。</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4)电路图：在器件操作菜单选择电路图后，可以根据器件名称自动定位到对应的电路图页面，方便用户查阅电路图。</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5)端子信息标注：可以显示各个器件的接插件针脚信息。</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13.电子白板模块：满足教师教学使用和学生在排故时的草稿记录需求。</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1)画笔：包括硬笔和荧光笔两种使用需求，可对两种型号的笔进行粗细及颜色调节。尺寸不低于7种型号，颜色不低于8种颜色。</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2)橡皮擦：可以书写内容进行擦除</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3)形状：可选择箭头、方形、三角形等不低于5种形状选择。</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4)清屏：可对屏幕书写内容一键清楚</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5)撤销：撤销上一步操作</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6)恢复：恢复上一步动作时状态内容</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7)页码：可多页码书写，且可进行页码的自由切换。</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FFA7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r>
      <w:tr w14:paraId="55DDBC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B8E1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5</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EECE1">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一体化集成工具台</w:t>
            </w:r>
          </w:p>
        </w:tc>
        <w:tc>
          <w:tcPr>
            <w:tcW w:w="3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250A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产品特性：</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专门为汽车修理技术人员设计</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车体选用1.2MM厚冷轧板,保证强度,牢固结实</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尼龙轮（其中两个带刹车万向轮）,推车更灵活、承重更大</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带门锁的柜子,方便存放大件工具</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配套工具：</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高品质实木操作台,方便工具使用,噪音低</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10MM系列VDE绝缘6角套筒8MM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10MM系列VDE绝缘6角套筒10MM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10MM系列VDE绝缘6角套筒12MM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10MM系列VDE绝缘6角套筒13MM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10MM系列VDE绝缘6角套筒14MM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10MM系列VDE绝缘6角套筒16MM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10MM系列VDE绝缘6角套筒17MM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10MM系列VDE绝缘6角套筒18MM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10MM系列VDE绝缘转向接杆125MM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10MM系列VDE绝缘转向接杆250MM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10MM系列VDE绝缘快速脱济棘轮扳手200MM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12.5MM系列VDE绝缘快速脱洛棘轮板手250MM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12.5MM系列VDE绝缘T型柄200MM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12.5MM系列VDE绝缘转向接杆125MM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12.5MM系列VDE绝缘转向接杆250MM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12.5MM系列VDE绝缘6角套筒10MM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12.5MM系列VDE绝缘6角套筒11MM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12.5MM系列VDE绝缘6角套筒12MM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12.5MM系列VDE绝缘6角套筒13MM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12.5MM系列VDE绝缘6角套筒14MM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12.5MM系列VDE绝缘6角套筒16MM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12.5MM系列VDE绝缘6角套筒17MM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12.5MM系列VDE绝缘6角套筒19MM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12.5MM系列VDE绝缘6角套筒21MM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12.5MM系列VDE绝缘6角套筒22MM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12.5MM系列VDE绝缘6角套筒24MM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12.5MM系列VDE绝缘六角旋具套筒4MM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12.5MM系列VDE绝缘六角旋具套筒5MM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12.5MM系列VDE绝缘六角旋具套筒6MM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12.5MM系列VDE绝缘六角旋具套筒8MM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12.5MM系列VDE绝缘六角旋具套简10MM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VDE绝缘开口扳手8MM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VDE绝缘开口扳手10MM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VDE绝缘开口扳手12MM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VDE绝缘开口扳手13MM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VDE绝缘开口扳手14MM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VDE绝缘开口扳手15MM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VDE绝缘开口扳手16MM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VDE绝缘开口扳手17MM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VDE绝缘开口扳手18MM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VDE绝缘开口扳手19MM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VDE绝缘开口扳手21MM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VDE绝缘梅花板手12MM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VDE绝缘梅花板手13MM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VDE绝缘梅花板手14MM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VDE绝缘梅花板手15MM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VDE绝缘梅花板手16MM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VDE绝缘梅花板手17MM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VDE绝缘梅花板手18MM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VDE绝缘梅花扳手19MM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VDE绝缘梅花板手21MM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VDE绝缘梅花扳手22MM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VDE绝缘梅花板手24MM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VDE绝缘耐压活动扳手8"</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T系列双色柄十字绝缘螺丝批＃0x60MM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T系列双色柄十字绝缘螺丝批＃1x80MM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T系列双色柄十字绝缘螺丝批＃2x100MM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T系列双色柄一字绝缘螺丝批2.5x75MM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T系列双色柄一字绝缘螺丝批4x100MM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T系列双色柄一字绝缘螺丝批5.5x125MM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VDE绝缘耐压尖嘴钳8"</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VDE绝缘耐压斜嘴钳7"</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VDE绝缘耐压钢丝钳8"</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防护式VDE绝缘电缆利线刀</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VDE绝缘开口扳手22MM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VDE绝缘开口扳手24MM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VDE绝缘梅花扳手8MM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VDE绝缘梅花板手10MM</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48E7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r>
      <w:tr w14:paraId="09C007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F37B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6</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AFBBD">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万用接线盒</w:t>
            </w:r>
          </w:p>
        </w:tc>
        <w:tc>
          <w:tcPr>
            <w:tcW w:w="3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F4A5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技术要求：</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主要强调各种规格的“T”型线，能满足轿车竞赛系统的所有保险丝、继电器、传感器、执行器插接测量之用，要有足够的通流能力和可重复插接使用能力；</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探针：具备测量方便，不破坏原车线束；</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鳄鱼夹：用以作暂时性电路连接。锯齿状的夹口可以牢牢地夹住要着色的零件，保证不会让零件松脱，个性化的绝缘设计，操作更安全；</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可调电阻：可设置虚接故障；还可以起到保护用电器的作用。</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表笔头：用PVC硅胶线，表笔灵敏度高、精准、质量好耐用，可直插电源表使用。</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三通：测量性能高，使用方便。</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测试灯：方便用于检测器件是否带电，绝缘性能高。</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测试线：满足车辆各种检测保险丝、继电器、元器件插接测量</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9D9B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r>
      <w:tr w14:paraId="0A96CA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C96E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7</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E2EB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工位安全保护套装</w:t>
            </w:r>
          </w:p>
        </w:tc>
        <w:tc>
          <w:tcPr>
            <w:tcW w:w="3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14C55">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工位安全保护套装包括警示牌、隔离带套装、绝缘防护垫等各1套。</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1、警示牌：绝缘材质制作，表面喷涂"危险，请勿靠近”字样与带电符号。</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2、隔离带套装：可再次利用，对操作空间进行隔离；最长5m；可伸缩，每套6根围成一个工位。</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3、绝缘防护垫：最高耐压10KV，尺寸：5m x 1m x 5mm</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09B7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r>
    </w:tbl>
    <w:p w14:paraId="609979FB">
      <w:pPr>
        <w:spacing w:line="400" w:lineRule="exact"/>
        <w:jc w:val="center"/>
        <w:rPr>
          <w:rFonts w:ascii="宋体" w:hAnsi="宋体" w:cs="宋体"/>
          <w:b/>
          <w:bCs/>
          <w:color w:val="auto"/>
          <w:sz w:val="24"/>
          <w:szCs w:val="24"/>
          <w:highlight w:val="none"/>
        </w:rPr>
      </w:pPr>
    </w:p>
    <w:p w14:paraId="6F2B8632">
      <w:pPr>
        <w:spacing w:line="400" w:lineRule="exact"/>
        <w:jc w:val="center"/>
        <w:rPr>
          <w:rFonts w:ascii="宋体" w:hAnsi="宋体" w:cs="宋体"/>
          <w:b/>
          <w:bCs/>
          <w:color w:val="auto"/>
          <w:sz w:val="24"/>
          <w:szCs w:val="24"/>
          <w:highlight w:val="none"/>
        </w:rPr>
      </w:pPr>
    </w:p>
    <w:p w14:paraId="6CD6BFFA">
      <w:pPr>
        <w:spacing w:line="400" w:lineRule="exact"/>
        <w:jc w:val="center"/>
        <w:rPr>
          <w:rFonts w:ascii="宋体" w:hAnsi="宋体" w:cs="宋体"/>
          <w:b/>
          <w:bCs/>
          <w:color w:val="auto"/>
          <w:sz w:val="24"/>
          <w:szCs w:val="24"/>
          <w:highlight w:val="none"/>
        </w:rPr>
      </w:pPr>
    </w:p>
    <w:p w14:paraId="69C36BB4">
      <w:pPr>
        <w:spacing w:line="400" w:lineRule="exact"/>
        <w:jc w:val="center"/>
        <w:rPr>
          <w:rFonts w:ascii="宋体" w:hAnsi="宋体" w:cs="宋体"/>
          <w:b/>
          <w:bCs/>
          <w:color w:val="auto"/>
          <w:sz w:val="24"/>
          <w:szCs w:val="24"/>
          <w:highlight w:val="none"/>
        </w:rPr>
        <w:sectPr>
          <w:pgSz w:w="11906" w:h="16838"/>
          <w:pgMar w:top="1134" w:right="1134" w:bottom="1134" w:left="1134" w:header="851" w:footer="992" w:gutter="0"/>
          <w:cols w:space="0" w:num="1"/>
          <w:docGrid w:type="lines" w:linePitch="395" w:charSpace="0"/>
        </w:sectPr>
      </w:pPr>
    </w:p>
    <w:p w14:paraId="7645EB14">
      <w:pPr>
        <w:spacing w:line="400" w:lineRule="exact"/>
        <w:jc w:val="center"/>
        <w:outlineLvl w:val="0"/>
        <w:rPr>
          <w:rFonts w:ascii="宋体" w:hAnsi="宋体" w:cs="宋体"/>
          <w:b/>
          <w:bCs/>
          <w:color w:val="auto"/>
          <w:sz w:val="24"/>
          <w:szCs w:val="24"/>
          <w:highlight w:val="none"/>
        </w:rPr>
      </w:pPr>
      <w:r>
        <w:rPr>
          <w:rFonts w:hint="eastAsia" w:ascii="宋体" w:hAnsi="宋体" w:cs="宋体"/>
          <w:b/>
          <w:bCs/>
          <w:color w:val="auto"/>
          <w:sz w:val="24"/>
          <w:szCs w:val="24"/>
          <w:highlight w:val="none"/>
        </w:rPr>
        <w:t>第五部分  合同条款</w:t>
      </w:r>
    </w:p>
    <w:p w14:paraId="5A69162A">
      <w:pPr>
        <w:rPr>
          <w:color w:val="auto"/>
          <w:highlight w:val="none"/>
        </w:rPr>
      </w:pPr>
    </w:p>
    <w:p w14:paraId="2F585319">
      <w:pPr>
        <w:pStyle w:val="6"/>
        <w:rPr>
          <w:rFonts w:asciiTheme="majorEastAsia" w:hAnsiTheme="majorEastAsia" w:eastAsiaTheme="majorEastAsia" w:cstheme="majorEastAsia"/>
          <w:color w:val="auto"/>
          <w:kern w:val="0"/>
          <w:sz w:val="21"/>
          <w:szCs w:val="21"/>
          <w:highlight w:val="none"/>
        </w:rPr>
      </w:pPr>
    </w:p>
    <w:p w14:paraId="68D7627D">
      <w:pPr>
        <w:rPr>
          <w:color w:val="auto"/>
          <w:highlight w:val="none"/>
        </w:rPr>
      </w:pPr>
    </w:p>
    <w:p w14:paraId="70752D71">
      <w:pPr>
        <w:rPr>
          <w:rFonts w:asciiTheme="majorEastAsia" w:hAnsiTheme="majorEastAsia" w:eastAsiaTheme="majorEastAsia" w:cstheme="majorEastAsia"/>
          <w:color w:val="auto"/>
          <w:kern w:val="0"/>
          <w:sz w:val="21"/>
          <w:szCs w:val="21"/>
          <w:highlight w:val="none"/>
        </w:rPr>
      </w:pPr>
    </w:p>
    <w:p w14:paraId="496B1E43">
      <w:pPr>
        <w:pStyle w:val="6"/>
        <w:rPr>
          <w:color w:val="auto"/>
          <w:highlight w:val="none"/>
        </w:rPr>
      </w:pPr>
    </w:p>
    <w:p w14:paraId="44F0AAE2">
      <w:pPr>
        <w:rPr>
          <w:color w:val="auto"/>
          <w:highlight w:val="none"/>
        </w:rPr>
      </w:pPr>
    </w:p>
    <w:p w14:paraId="6FC8A5E7">
      <w:pPr>
        <w:pStyle w:val="6"/>
        <w:jc w:val="center"/>
        <w:rPr>
          <w:b/>
          <w:bCs/>
          <w:color w:val="auto"/>
          <w:sz w:val="40"/>
          <w:szCs w:val="36"/>
          <w:highlight w:val="none"/>
        </w:rPr>
      </w:pPr>
      <w:r>
        <w:rPr>
          <w:rFonts w:hint="eastAsia"/>
          <w:b/>
          <w:bCs/>
          <w:color w:val="auto"/>
          <w:sz w:val="40"/>
          <w:szCs w:val="36"/>
          <w:highlight w:val="none"/>
        </w:rPr>
        <w:t>合同协议书</w:t>
      </w:r>
    </w:p>
    <w:p w14:paraId="57C5EF9F">
      <w:pPr>
        <w:rPr>
          <w:color w:val="auto"/>
          <w:highlight w:val="none"/>
        </w:rPr>
      </w:pPr>
    </w:p>
    <w:p w14:paraId="009A9F33">
      <w:pPr>
        <w:pStyle w:val="6"/>
        <w:rPr>
          <w:color w:val="auto"/>
          <w:highlight w:val="none"/>
        </w:rPr>
      </w:pPr>
    </w:p>
    <w:p w14:paraId="1E78A467">
      <w:pPr>
        <w:rPr>
          <w:color w:val="auto"/>
          <w:highlight w:val="none"/>
        </w:rPr>
      </w:pPr>
    </w:p>
    <w:p w14:paraId="79783A0B">
      <w:pPr>
        <w:pStyle w:val="6"/>
        <w:rPr>
          <w:color w:val="auto"/>
          <w:highlight w:val="none"/>
        </w:rPr>
      </w:pPr>
    </w:p>
    <w:p w14:paraId="5DFB2931">
      <w:pPr>
        <w:rPr>
          <w:color w:val="auto"/>
          <w:highlight w:val="none"/>
        </w:rPr>
      </w:pPr>
    </w:p>
    <w:p w14:paraId="0A33765D">
      <w:pPr>
        <w:pStyle w:val="12"/>
        <w:rPr>
          <w:rFonts w:hint="default"/>
          <w:color w:val="auto"/>
          <w:highlight w:val="none"/>
        </w:rPr>
      </w:pPr>
    </w:p>
    <w:p w14:paraId="3EFFA9D9">
      <w:pPr>
        <w:pStyle w:val="13"/>
        <w:rPr>
          <w:rFonts w:hint="default"/>
          <w:color w:val="auto"/>
          <w:highlight w:val="none"/>
        </w:rPr>
      </w:pPr>
    </w:p>
    <w:p w14:paraId="7F55591D">
      <w:pPr>
        <w:pStyle w:val="14"/>
        <w:rPr>
          <w:color w:val="auto"/>
          <w:highlight w:val="none"/>
        </w:rPr>
      </w:pPr>
    </w:p>
    <w:p w14:paraId="3CF50554">
      <w:pPr>
        <w:rPr>
          <w:color w:val="auto"/>
          <w:highlight w:val="none"/>
        </w:rPr>
      </w:pPr>
    </w:p>
    <w:tbl>
      <w:tblPr>
        <w:tblStyle w:val="27"/>
        <w:tblW w:w="0" w:type="auto"/>
        <w:tblInd w:w="0" w:type="dxa"/>
        <w:tblLayout w:type="fixed"/>
        <w:tblCellMar>
          <w:top w:w="0" w:type="dxa"/>
          <w:left w:w="108" w:type="dxa"/>
          <w:bottom w:w="0" w:type="dxa"/>
          <w:right w:w="108" w:type="dxa"/>
        </w:tblCellMar>
      </w:tblPr>
      <w:tblGrid>
        <w:gridCol w:w="1215"/>
        <w:gridCol w:w="340"/>
        <w:gridCol w:w="5988"/>
      </w:tblGrid>
      <w:tr w14:paraId="3E3817A3">
        <w:tblPrEx>
          <w:tblCellMar>
            <w:top w:w="0" w:type="dxa"/>
            <w:left w:w="108" w:type="dxa"/>
            <w:bottom w:w="0" w:type="dxa"/>
            <w:right w:w="108" w:type="dxa"/>
          </w:tblCellMar>
        </w:tblPrEx>
        <w:trPr>
          <w:cantSplit/>
          <w:trHeight w:val="977" w:hRule="atLeast"/>
        </w:trPr>
        <w:tc>
          <w:tcPr>
            <w:tcW w:w="1215" w:type="dxa"/>
            <w:vAlign w:val="center"/>
          </w:tcPr>
          <w:p w14:paraId="779297B9">
            <w:pPr>
              <w:pBdr>
                <w:bottom w:val="single" w:color="auto" w:sz="4" w:space="0"/>
              </w:pBdr>
              <w:spacing w:line="396" w:lineRule="exact"/>
              <w:rPr>
                <w:rFonts w:asciiTheme="majorEastAsia" w:hAnsiTheme="majorEastAsia" w:eastAsiaTheme="majorEastAsia" w:cstheme="majorEastAsia"/>
                <w:color w:val="auto"/>
                <w:kern w:val="0"/>
                <w:sz w:val="21"/>
                <w:szCs w:val="21"/>
                <w:highlight w:val="none"/>
              </w:rPr>
            </w:pPr>
            <w:r>
              <w:rPr>
                <w:rFonts w:hint="eastAsia" w:asciiTheme="majorEastAsia" w:hAnsiTheme="majorEastAsia" w:eastAsiaTheme="majorEastAsia" w:cstheme="majorEastAsia"/>
                <w:color w:val="auto"/>
                <w:kern w:val="0"/>
                <w:sz w:val="21"/>
                <w:szCs w:val="21"/>
                <w:highlight w:val="none"/>
              </w:rPr>
              <w:t>采购人</w:t>
            </w:r>
          </w:p>
        </w:tc>
        <w:tc>
          <w:tcPr>
            <w:tcW w:w="340" w:type="dxa"/>
            <w:vAlign w:val="center"/>
          </w:tcPr>
          <w:p w14:paraId="0F42357E">
            <w:pPr>
              <w:pBdr>
                <w:bottom w:val="single" w:color="auto" w:sz="4" w:space="0"/>
              </w:pBdr>
              <w:spacing w:line="396" w:lineRule="exact"/>
              <w:rPr>
                <w:rFonts w:asciiTheme="majorEastAsia" w:hAnsiTheme="majorEastAsia" w:eastAsiaTheme="majorEastAsia" w:cstheme="majorEastAsia"/>
                <w:color w:val="auto"/>
                <w:kern w:val="0"/>
                <w:sz w:val="21"/>
                <w:szCs w:val="21"/>
                <w:highlight w:val="none"/>
              </w:rPr>
            </w:pPr>
            <w:r>
              <w:rPr>
                <w:rFonts w:hint="eastAsia" w:asciiTheme="majorEastAsia" w:hAnsiTheme="majorEastAsia" w:eastAsiaTheme="majorEastAsia" w:cstheme="majorEastAsia"/>
                <w:color w:val="auto"/>
                <w:kern w:val="0"/>
                <w:sz w:val="21"/>
                <w:szCs w:val="21"/>
                <w:highlight w:val="none"/>
              </w:rPr>
              <w:t>：</w:t>
            </w:r>
          </w:p>
        </w:tc>
        <w:tc>
          <w:tcPr>
            <w:tcW w:w="5988" w:type="dxa"/>
            <w:vAlign w:val="center"/>
          </w:tcPr>
          <w:p w14:paraId="57ED58F6">
            <w:pPr>
              <w:pBdr>
                <w:bottom w:val="single" w:color="auto" w:sz="4" w:space="0"/>
              </w:pBdr>
              <w:spacing w:line="396" w:lineRule="exact"/>
              <w:rPr>
                <w:rFonts w:asciiTheme="majorEastAsia" w:hAnsiTheme="majorEastAsia" w:eastAsiaTheme="majorEastAsia" w:cstheme="majorEastAsia"/>
                <w:color w:val="auto"/>
                <w:kern w:val="0"/>
                <w:sz w:val="21"/>
                <w:szCs w:val="21"/>
                <w:highlight w:val="none"/>
              </w:rPr>
            </w:pPr>
          </w:p>
        </w:tc>
      </w:tr>
      <w:tr w14:paraId="45AF76C2">
        <w:tblPrEx>
          <w:tblCellMar>
            <w:top w:w="0" w:type="dxa"/>
            <w:left w:w="108" w:type="dxa"/>
            <w:bottom w:w="0" w:type="dxa"/>
            <w:right w:w="108" w:type="dxa"/>
          </w:tblCellMar>
        </w:tblPrEx>
        <w:trPr>
          <w:cantSplit/>
          <w:trHeight w:val="909" w:hRule="atLeast"/>
        </w:trPr>
        <w:tc>
          <w:tcPr>
            <w:tcW w:w="1215" w:type="dxa"/>
            <w:vAlign w:val="center"/>
          </w:tcPr>
          <w:p w14:paraId="4EF47DB0">
            <w:pPr>
              <w:pBdr>
                <w:bottom w:val="single" w:color="auto" w:sz="4" w:space="0"/>
              </w:pBdr>
              <w:spacing w:line="396" w:lineRule="exact"/>
              <w:rPr>
                <w:rFonts w:asciiTheme="majorEastAsia" w:hAnsiTheme="majorEastAsia" w:eastAsiaTheme="majorEastAsia" w:cstheme="majorEastAsia"/>
                <w:color w:val="auto"/>
                <w:kern w:val="0"/>
                <w:sz w:val="21"/>
                <w:szCs w:val="21"/>
                <w:highlight w:val="none"/>
              </w:rPr>
            </w:pPr>
            <w:r>
              <w:rPr>
                <w:rFonts w:hint="eastAsia" w:asciiTheme="majorEastAsia" w:hAnsiTheme="majorEastAsia" w:eastAsiaTheme="majorEastAsia" w:cstheme="majorEastAsia"/>
                <w:color w:val="auto"/>
                <w:kern w:val="0"/>
                <w:sz w:val="21"/>
                <w:szCs w:val="21"/>
                <w:highlight w:val="none"/>
              </w:rPr>
              <w:t>供应商</w:t>
            </w:r>
          </w:p>
        </w:tc>
        <w:tc>
          <w:tcPr>
            <w:tcW w:w="340" w:type="dxa"/>
            <w:vAlign w:val="center"/>
          </w:tcPr>
          <w:p w14:paraId="217877B3">
            <w:pPr>
              <w:pBdr>
                <w:bottom w:val="single" w:color="auto" w:sz="4" w:space="0"/>
              </w:pBdr>
              <w:spacing w:line="396" w:lineRule="exact"/>
              <w:rPr>
                <w:rFonts w:asciiTheme="majorEastAsia" w:hAnsiTheme="majorEastAsia" w:eastAsiaTheme="majorEastAsia" w:cstheme="majorEastAsia"/>
                <w:color w:val="auto"/>
                <w:kern w:val="0"/>
                <w:sz w:val="21"/>
                <w:szCs w:val="21"/>
                <w:highlight w:val="none"/>
              </w:rPr>
            </w:pPr>
            <w:r>
              <w:rPr>
                <w:rFonts w:hint="eastAsia" w:asciiTheme="majorEastAsia" w:hAnsiTheme="majorEastAsia" w:eastAsiaTheme="majorEastAsia" w:cstheme="majorEastAsia"/>
                <w:color w:val="auto"/>
                <w:kern w:val="0"/>
                <w:sz w:val="21"/>
                <w:szCs w:val="21"/>
                <w:highlight w:val="none"/>
              </w:rPr>
              <w:t>：</w:t>
            </w:r>
          </w:p>
        </w:tc>
        <w:tc>
          <w:tcPr>
            <w:tcW w:w="5988" w:type="dxa"/>
            <w:vAlign w:val="center"/>
          </w:tcPr>
          <w:p w14:paraId="52FCCF4F">
            <w:pPr>
              <w:pBdr>
                <w:bottom w:val="single" w:color="auto" w:sz="4" w:space="0"/>
              </w:pBdr>
              <w:spacing w:line="396" w:lineRule="exact"/>
              <w:rPr>
                <w:rFonts w:asciiTheme="majorEastAsia" w:hAnsiTheme="majorEastAsia" w:eastAsiaTheme="majorEastAsia" w:cstheme="majorEastAsia"/>
                <w:color w:val="auto"/>
                <w:kern w:val="0"/>
                <w:sz w:val="21"/>
                <w:szCs w:val="21"/>
                <w:highlight w:val="none"/>
              </w:rPr>
            </w:pPr>
          </w:p>
        </w:tc>
      </w:tr>
    </w:tbl>
    <w:p w14:paraId="306794B3">
      <w:pPr>
        <w:spacing w:line="396" w:lineRule="exact"/>
        <w:rPr>
          <w:rFonts w:asciiTheme="majorEastAsia" w:hAnsiTheme="majorEastAsia" w:eastAsiaTheme="majorEastAsia" w:cstheme="majorEastAsia"/>
          <w:color w:val="auto"/>
          <w:kern w:val="0"/>
          <w:sz w:val="21"/>
          <w:szCs w:val="21"/>
          <w:highlight w:val="none"/>
        </w:rPr>
      </w:pPr>
    </w:p>
    <w:p w14:paraId="2BD014B5">
      <w:pPr>
        <w:spacing w:line="396" w:lineRule="exact"/>
        <w:ind w:firstLine="3360" w:firstLineChars="1600"/>
        <w:rPr>
          <w:rFonts w:asciiTheme="majorEastAsia" w:hAnsiTheme="majorEastAsia" w:eastAsiaTheme="majorEastAsia" w:cstheme="majorEastAsia"/>
          <w:color w:val="auto"/>
          <w:kern w:val="0"/>
          <w:sz w:val="21"/>
          <w:szCs w:val="21"/>
          <w:highlight w:val="none"/>
        </w:rPr>
      </w:pPr>
    </w:p>
    <w:p w14:paraId="44E411F6">
      <w:pPr>
        <w:spacing w:line="396" w:lineRule="exact"/>
        <w:ind w:firstLine="3360" w:firstLineChars="1600"/>
        <w:rPr>
          <w:rFonts w:asciiTheme="majorEastAsia" w:hAnsiTheme="majorEastAsia" w:eastAsiaTheme="majorEastAsia" w:cstheme="majorEastAsia"/>
          <w:color w:val="auto"/>
          <w:kern w:val="0"/>
          <w:sz w:val="21"/>
          <w:szCs w:val="21"/>
          <w:highlight w:val="none"/>
        </w:rPr>
      </w:pPr>
    </w:p>
    <w:p w14:paraId="6526E2ED">
      <w:pPr>
        <w:spacing w:line="396" w:lineRule="exact"/>
        <w:ind w:firstLine="3360" w:firstLineChars="1600"/>
        <w:rPr>
          <w:rFonts w:asciiTheme="majorEastAsia" w:hAnsiTheme="majorEastAsia" w:eastAsiaTheme="majorEastAsia" w:cstheme="majorEastAsia"/>
          <w:color w:val="auto"/>
          <w:kern w:val="0"/>
          <w:sz w:val="21"/>
          <w:szCs w:val="21"/>
          <w:highlight w:val="none"/>
        </w:rPr>
      </w:pPr>
    </w:p>
    <w:p w14:paraId="6A825E0E">
      <w:pPr>
        <w:spacing w:line="396" w:lineRule="exact"/>
        <w:ind w:firstLine="3360" w:firstLineChars="1600"/>
        <w:rPr>
          <w:rFonts w:asciiTheme="majorEastAsia" w:hAnsiTheme="majorEastAsia" w:eastAsiaTheme="majorEastAsia" w:cstheme="majorEastAsia"/>
          <w:color w:val="auto"/>
          <w:kern w:val="0"/>
          <w:sz w:val="21"/>
          <w:szCs w:val="21"/>
          <w:highlight w:val="none"/>
        </w:rPr>
      </w:pPr>
      <w:r>
        <w:rPr>
          <w:rFonts w:hint="eastAsia" w:asciiTheme="majorEastAsia" w:hAnsiTheme="majorEastAsia" w:eastAsiaTheme="majorEastAsia" w:cstheme="majorEastAsia"/>
          <w:color w:val="auto"/>
          <w:kern w:val="0"/>
          <w:sz w:val="21"/>
          <w:szCs w:val="21"/>
          <w:highlight w:val="none"/>
        </w:rPr>
        <w:t>二○二</w:t>
      </w:r>
      <w:r>
        <w:rPr>
          <w:rFonts w:hint="eastAsia" w:asciiTheme="majorEastAsia" w:hAnsiTheme="majorEastAsia" w:eastAsiaTheme="majorEastAsia" w:cstheme="majorEastAsia"/>
          <w:color w:val="auto"/>
          <w:kern w:val="0"/>
          <w:sz w:val="21"/>
          <w:szCs w:val="21"/>
          <w:highlight w:val="none"/>
          <w:lang w:val="en-US" w:eastAsia="zh-CN"/>
        </w:rPr>
        <w:t>四</w:t>
      </w:r>
      <w:r>
        <w:rPr>
          <w:rFonts w:hint="eastAsia" w:asciiTheme="majorEastAsia" w:hAnsiTheme="majorEastAsia" w:eastAsiaTheme="majorEastAsia" w:cstheme="majorEastAsia"/>
          <w:color w:val="auto"/>
          <w:kern w:val="0"/>
          <w:sz w:val="21"/>
          <w:szCs w:val="21"/>
          <w:highlight w:val="none"/>
        </w:rPr>
        <w:t>年  月</w:t>
      </w:r>
    </w:p>
    <w:p w14:paraId="2F93A1EA">
      <w:pPr>
        <w:spacing w:line="396" w:lineRule="exact"/>
        <w:rPr>
          <w:rFonts w:asciiTheme="majorEastAsia" w:hAnsiTheme="majorEastAsia" w:eastAsiaTheme="majorEastAsia" w:cstheme="majorEastAsia"/>
          <w:color w:val="auto"/>
          <w:kern w:val="0"/>
          <w:sz w:val="21"/>
          <w:szCs w:val="21"/>
          <w:highlight w:val="none"/>
        </w:rPr>
      </w:pPr>
    </w:p>
    <w:p w14:paraId="7C6E7EF6">
      <w:pPr>
        <w:spacing w:line="396" w:lineRule="exact"/>
        <w:rPr>
          <w:rFonts w:asciiTheme="majorEastAsia" w:hAnsiTheme="majorEastAsia" w:eastAsiaTheme="majorEastAsia" w:cstheme="majorEastAsia"/>
          <w:color w:val="auto"/>
          <w:kern w:val="0"/>
          <w:sz w:val="21"/>
          <w:szCs w:val="21"/>
          <w:highlight w:val="none"/>
        </w:rPr>
      </w:pPr>
    </w:p>
    <w:p w14:paraId="492FD646">
      <w:pPr>
        <w:pBdr>
          <w:bottom w:val="single" w:color="auto" w:sz="4" w:space="0"/>
        </w:pBdr>
        <w:spacing w:line="360" w:lineRule="auto"/>
        <w:rPr>
          <w:rFonts w:ascii="宋体" w:hAnsi="宋体" w:cs="宋体"/>
          <w:b/>
          <w:bCs/>
          <w:color w:val="auto"/>
          <w:sz w:val="24"/>
          <w:szCs w:val="24"/>
          <w:highlight w:val="none"/>
        </w:rPr>
      </w:pPr>
      <w:r>
        <w:rPr>
          <w:rFonts w:hint="eastAsia" w:asciiTheme="majorEastAsia" w:hAnsiTheme="majorEastAsia" w:eastAsiaTheme="majorEastAsia" w:cstheme="majorEastAsia"/>
          <w:color w:val="auto"/>
          <w:kern w:val="0"/>
          <w:sz w:val="21"/>
          <w:szCs w:val="21"/>
          <w:highlight w:val="none"/>
        </w:rPr>
        <w:br w:type="page"/>
      </w:r>
    </w:p>
    <w:p w14:paraId="55A0F113">
      <w:pPr>
        <w:pStyle w:val="16"/>
        <w:spacing w:line="440" w:lineRule="exact"/>
        <w:rPr>
          <w:rFonts w:hint="default" w:asciiTheme="minorEastAsia" w:hAnsiTheme="minorEastAsia" w:eastAsiaTheme="minorEastAsia" w:cstheme="minorEastAsia"/>
          <w:color w:val="auto"/>
          <w:sz w:val="21"/>
          <w:szCs w:val="21"/>
          <w:highlight w:val="none"/>
        </w:rPr>
      </w:pPr>
      <w:r>
        <w:rPr>
          <w:rFonts w:asciiTheme="minorEastAsia" w:hAnsiTheme="minorEastAsia" w:eastAsiaTheme="minorEastAsia" w:cstheme="minorEastAsia"/>
          <w:b/>
          <w:color w:val="auto"/>
          <w:sz w:val="21"/>
          <w:szCs w:val="21"/>
          <w:highlight w:val="none"/>
          <w:lang w:val="zh-CN"/>
        </w:rPr>
        <w:t>采购人（以下称甲</w:t>
      </w:r>
      <w:r>
        <w:rPr>
          <w:rFonts w:asciiTheme="minorEastAsia" w:hAnsiTheme="minorEastAsia" w:eastAsiaTheme="minorEastAsia" w:cstheme="minorEastAsia"/>
          <w:b/>
          <w:color w:val="auto"/>
          <w:sz w:val="21"/>
          <w:szCs w:val="21"/>
          <w:highlight w:val="none"/>
        </w:rPr>
        <w:t xml:space="preserve">方）:                       </w:t>
      </w:r>
    </w:p>
    <w:p w14:paraId="1AC3D4E9">
      <w:pPr>
        <w:pStyle w:val="16"/>
        <w:spacing w:line="440" w:lineRule="exact"/>
        <w:rPr>
          <w:rFonts w:hint="default" w:asciiTheme="minorEastAsia" w:hAnsiTheme="minorEastAsia" w:eastAsiaTheme="minorEastAsia" w:cstheme="minorEastAsia"/>
          <w:color w:val="auto"/>
          <w:sz w:val="21"/>
          <w:szCs w:val="21"/>
          <w:highlight w:val="none"/>
          <w:u w:val="single"/>
        </w:rPr>
      </w:pPr>
      <w:r>
        <w:rPr>
          <w:rFonts w:asciiTheme="minorEastAsia" w:hAnsiTheme="minorEastAsia" w:eastAsiaTheme="minorEastAsia" w:cstheme="minorEastAsia"/>
          <w:b/>
          <w:color w:val="auto"/>
          <w:sz w:val="21"/>
          <w:szCs w:val="21"/>
          <w:highlight w:val="none"/>
        </w:rPr>
        <w:t>供应商（</w:t>
      </w:r>
      <w:r>
        <w:rPr>
          <w:rFonts w:asciiTheme="minorEastAsia" w:hAnsiTheme="minorEastAsia" w:eastAsiaTheme="minorEastAsia" w:cstheme="minorEastAsia"/>
          <w:b/>
          <w:color w:val="auto"/>
          <w:sz w:val="21"/>
          <w:szCs w:val="21"/>
          <w:highlight w:val="none"/>
          <w:lang w:val="zh-CN"/>
        </w:rPr>
        <w:t>以下称</w:t>
      </w:r>
      <w:r>
        <w:rPr>
          <w:rFonts w:asciiTheme="minorEastAsia" w:hAnsiTheme="minorEastAsia" w:eastAsiaTheme="minorEastAsia" w:cstheme="minorEastAsia"/>
          <w:b/>
          <w:color w:val="auto"/>
          <w:sz w:val="21"/>
          <w:szCs w:val="21"/>
          <w:highlight w:val="none"/>
        </w:rPr>
        <w:t xml:space="preserve">乙方）:                     </w:t>
      </w:r>
    </w:p>
    <w:p w14:paraId="789BC1D0">
      <w:pPr>
        <w:pStyle w:val="16"/>
        <w:spacing w:line="440" w:lineRule="exact"/>
        <w:ind w:firstLine="424" w:firstLineChars="202"/>
        <w:rPr>
          <w:rFonts w:hint="default" w:asciiTheme="minorEastAsia" w:hAnsiTheme="minorEastAsia" w:eastAsiaTheme="minorEastAsia" w:cstheme="minorEastAsia"/>
          <w:color w:val="auto"/>
          <w:sz w:val="21"/>
          <w:szCs w:val="21"/>
          <w:highlight w:val="none"/>
        </w:rPr>
      </w:pPr>
      <w:r>
        <w:rPr>
          <w:rFonts w:asciiTheme="minorEastAsia" w:hAnsiTheme="minorEastAsia" w:eastAsiaTheme="minorEastAsia" w:cstheme="minorEastAsia"/>
          <w:color w:val="auto"/>
          <w:sz w:val="21"/>
          <w:szCs w:val="21"/>
          <w:highlight w:val="none"/>
        </w:rPr>
        <w:t>甲乙双方依据《中华人民共和国民法典》以及有关法律、法规的规定，经协商一致，订立本合同，以便共同遵守。</w:t>
      </w:r>
    </w:p>
    <w:p w14:paraId="343E55D0">
      <w:pPr>
        <w:pStyle w:val="16"/>
        <w:spacing w:line="440" w:lineRule="exact"/>
        <w:ind w:firstLine="426" w:firstLineChars="202"/>
        <w:rPr>
          <w:rFonts w:hint="default" w:asciiTheme="minorEastAsia" w:hAnsiTheme="minorEastAsia" w:eastAsiaTheme="minorEastAsia" w:cstheme="minorEastAsia"/>
          <w:b/>
          <w:color w:val="auto"/>
          <w:sz w:val="21"/>
          <w:szCs w:val="21"/>
          <w:highlight w:val="none"/>
        </w:rPr>
      </w:pPr>
      <w:r>
        <w:rPr>
          <w:rFonts w:asciiTheme="minorEastAsia" w:hAnsiTheme="minorEastAsia" w:eastAsiaTheme="minorEastAsia" w:cstheme="minorEastAsia"/>
          <w:b/>
          <w:color w:val="auto"/>
          <w:sz w:val="21"/>
          <w:szCs w:val="21"/>
          <w:highlight w:val="none"/>
        </w:rPr>
        <w:t>第一条 合同内容</w:t>
      </w:r>
    </w:p>
    <w:p w14:paraId="01A23D9A">
      <w:pPr>
        <w:pStyle w:val="3"/>
        <w:numPr>
          <w:ilvl w:val="0"/>
          <w:numId w:val="0"/>
        </w:numPr>
        <w:bidi w:val="0"/>
        <w:ind w:leftChars="0" w:firstLine="422" w:firstLineChars="200"/>
        <w:jc w:val="both"/>
        <w:rPr>
          <w:rFonts w:hint="default"/>
          <w:color w:val="auto"/>
          <w:lang w:val="en-US" w:eastAsia="zh-CN"/>
        </w:rPr>
      </w:pPr>
      <w:r>
        <w:rPr>
          <w:rFonts w:hint="eastAsia" w:ascii="宋体" w:hAnsi="宋体" w:eastAsia="宋体" w:cs="宋体"/>
          <w:color w:val="auto"/>
          <w:sz w:val="21"/>
          <w:szCs w:val="21"/>
          <w:highlight w:val="none"/>
          <w:lang w:eastAsia="zh-CN"/>
        </w:rPr>
        <w:t>江苏省金坛中等专业学校新能源汽车技能大赛实训设备采购，</w:t>
      </w:r>
      <w:r>
        <w:rPr>
          <w:rFonts w:hint="eastAsia" w:ascii="宋体" w:hAnsi="宋体" w:eastAsia="宋体" w:cs="宋体"/>
          <w:color w:val="auto"/>
          <w:sz w:val="21"/>
          <w:szCs w:val="21"/>
          <w:highlight w:val="none"/>
          <w:lang w:val="en-US" w:eastAsia="zh-CN"/>
        </w:rPr>
        <w:t>如下：</w:t>
      </w:r>
    </w:p>
    <w:p w14:paraId="7CB4221B">
      <w:pPr>
        <w:pStyle w:val="3"/>
        <w:numPr>
          <w:ilvl w:val="0"/>
          <w:numId w:val="0"/>
        </w:numPr>
        <w:bidi w:val="0"/>
        <w:ind w:leftChars="0" w:firstLine="422" w:firstLineChars="20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1.设备清单</w:t>
      </w:r>
    </w:p>
    <w:tbl>
      <w:tblPr>
        <w:tblStyle w:val="27"/>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74"/>
        <w:gridCol w:w="5149"/>
        <w:gridCol w:w="1174"/>
        <w:gridCol w:w="1174"/>
        <w:gridCol w:w="1179"/>
      </w:tblGrid>
      <w:tr w14:paraId="6E0326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7D29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序号</w:t>
            </w:r>
          </w:p>
        </w:tc>
        <w:tc>
          <w:tcPr>
            <w:tcW w:w="26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EFF1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产品名称</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ED35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数量</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8B80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单价</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F1B1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总价</w:t>
            </w:r>
          </w:p>
        </w:tc>
      </w:tr>
      <w:tr w14:paraId="54FC5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DFE4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26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0CA3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教学实训车</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EF91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DA86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42FB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p>
        </w:tc>
      </w:tr>
      <w:tr w14:paraId="460CCA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114B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w:t>
            </w:r>
          </w:p>
        </w:tc>
        <w:tc>
          <w:tcPr>
            <w:tcW w:w="26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3B79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动力电池总成装调工作平台</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AA37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527F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21DB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p>
        </w:tc>
      </w:tr>
      <w:tr w14:paraId="1C203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F3F6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w:t>
            </w:r>
          </w:p>
        </w:tc>
        <w:tc>
          <w:tcPr>
            <w:tcW w:w="26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043C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新能源汽车动力总成拆装实训台</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C67A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B7D2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09B2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p>
        </w:tc>
      </w:tr>
      <w:tr w14:paraId="6435E2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F00B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4</w:t>
            </w:r>
          </w:p>
        </w:tc>
        <w:tc>
          <w:tcPr>
            <w:tcW w:w="26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B3E46">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新能源汽车故障诊断仿真教学系统</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719F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B68B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3F05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p>
        </w:tc>
      </w:tr>
      <w:tr w14:paraId="718032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C43F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5</w:t>
            </w:r>
          </w:p>
        </w:tc>
        <w:tc>
          <w:tcPr>
            <w:tcW w:w="26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D1197">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一体化集成工具台</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04F1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0598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677D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p>
        </w:tc>
      </w:tr>
      <w:tr w14:paraId="2CE24F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C264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6</w:t>
            </w:r>
          </w:p>
        </w:tc>
        <w:tc>
          <w:tcPr>
            <w:tcW w:w="26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5065D">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万用接线盒</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F36C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756A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5FAD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p>
        </w:tc>
      </w:tr>
      <w:tr w14:paraId="4DC660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9382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7</w:t>
            </w:r>
          </w:p>
        </w:tc>
        <w:tc>
          <w:tcPr>
            <w:tcW w:w="26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72A77">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工位安全保护套装</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9359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95D2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8708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p>
        </w:tc>
      </w:tr>
      <w:tr w14:paraId="4D14B6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0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5A86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合计</w:t>
            </w:r>
          </w:p>
        </w:tc>
        <w:tc>
          <w:tcPr>
            <w:tcW w:w="179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A55E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p>
        </w:tc>
      </w:tr>
    </w:tbl>
    <w:p w14:paraId="6CBDD778">
      <w:pPr>
        <w:pStyle w:val="3"/>
        <w:numPr>
          <w:ilvl w:val="0"/>
          <w:numId w:val="0"/>
        </w:numPr>
        <w:bidi w:val="0"/>
        <w:ind w:leftChars="0" w:firstLine="422" w:firstLineChars="20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2.技术参数</w:t>
      </w:r>
    </w:p>
    <w:tbl>
      <w:tblPr>
        <w:tblStyle w:val="27"/>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96"/>
        <w:gridCol w:w="1277"/>
        <w:gridCol w:w="6702"/>
        <w:gridCol w:w="979"/>
      </w:tblGrid>
      <w:tr w14:paraId="6DD24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8" w:hRule="atLeast"/>
        </w:trPr>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531F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序号</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B0BB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产品名称</w:t>
            </w:r>
          </w:p>
        </w:tc>
        <w:tc>
          <w:tcPr>
            <w:tcW w:w="3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D12D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技术参数</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D1E1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数量</w:t>
            </w:r>
          </w:p>
        </w:tc>
      </w:tr>
      <w:tr w14:paraId="750E79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B627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9CCB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教学实训车</w:t>
            </w:r>
          </w:p>
        </w:tc>
        <w:tc>
          <w:tcPr>
            <w:tcW w:w="3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00574">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一、产品要求</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新能源汽车整车为大赛定制版车型，作为大赛专用车型满足竞赛规程和赛题要求。车辆应满足新能源汽车专业教学要求，可完成新能源汽车维护与动力蓄电池检测、新能源汽车简单故障诊断与排除等实训项目，车辆应包含低压电源系统、高压控制系统、车身电气系统，驾驶辅助系统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二、产品配置要求</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品牌：几何</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级别：紧凑型车</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能源类型：纯电动</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快充电量百分比 ：80</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最大功率：150KW</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最大扭矩：310N.m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长*宽*高：4752*1804*1503mm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车身结构 ：4门5座三厢车</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电动机类型：永磁同步电机</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电池类型：定制版三元锂电池</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电池编码：VR/993310</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电池电量：52.8KWh</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电池额定电压：352V</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电池冷却方式：液冷</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变速箱类型：固定齿比变速箱</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030B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r>
      <w:tr w14:paraId="3788EE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CC3A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607A1">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动力电池总成装调工作平台</w:t>
            </w:r>
          </w:p>
        </w:tc>
        <w:tc>
          <w:tcPr>
            <w:tcW w:w="3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F5D82">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1、产品介绍</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本产品主要为提升学生的电池装配与调试能力而研发，可实现动力蓄电池的装配与调试、单体电池的装配与测量、电池模组的分装与测量、直流充电接口的装配与测量、交流充电接口的装配与测量。</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2、技术特点</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2.1外观结构</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设备主体采用整体结构设计，主体外壳采用≥1.5mm厚冷轧板，严格按钣金加工工艺操作，经酸洗、喷塑；主体框架采用钢结构焊接，表面采用防静电喷涂工艺处理，系统部件通过激光切割和数控加工结构件，装配配置带锁止功能的万向静音脚轮，</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动力蓄电池分装调试工作站配有工具架挂钩、便于工具零部件的收纳与取用。</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动力蓄电池分装调试工作站台面分别设计有不同的功能区域，包括电池焊接工作区、动力蓄电池分装调试工作区、动力蓄电池通电调试区。</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安全防护控制系统:国标86盒尺寸安装，正面国标五孔供电、USB充电1个、丝印定位识别二维码1个。支持额定电流：2A、10A、16A，USB支持最大电压5V、最大电流2A。</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2.2动力蓄电池</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动力蓄电池包含单体电池、电池模组、电流传感器、温度传感器、主正继电器、主负继电器、预充继电器、充电继电器、预充电阻、高压维修开关、快充连接器、慢充连接器、低压接插件、车载充电机检测、直流充电接口、交流充电接口、冷却系统接口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2.3点焊机</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点焊机包括：焊头、工作台、操作与显示系统、气压表、气管接头、电源接头、低压连接器、电源开关。</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点焊机主体采用整体结构设计，主体外壳采用≥1.5mm厚冷轧板，严格按钣金加工工艺操作，经酸洗、喷塑、丝印；主体框架采用钢结构焊接，表面采用防静电喷涂工艺处理，系统部件通过激光切割和数控加工结构件</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3、设备参数</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3.1设备尺寸</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长*宽*高：1700*730*1500mm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3.2 主要部件参数</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（1）BMS电池管理系</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工作电压范围： DC 9～36V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工作温度范围：-40℃~85℃</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储存温度范围：-40℃~125℃</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工作湿度范围(%)：0~95%</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单体电池电压检测范围：0~5V</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单只电池电压采样精度：≤5mV</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单体电池电压采样频率：≤100ms</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总电压检测精度：&lt;1%</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温度测量范围：-40~125℃</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温度检测精度：±1℃</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电流检测范围：≤75A</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（2）车载充电机</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海拔高度：≤3000m 满载输出</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存储环境温度：-40℃～+80℃</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工作环境温度：-20℃～55℃正常工作；55℃～75℃降额输出</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相对湿度：0～95%</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安装环境：无剧烈振动和冲击</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粉尘环境：无导电或爆炸尘埃，没有腐蚀金属和破坏绝缘的气体或蒸气</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规格型号：75V10A</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输入电压：≥220VAC</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工作频率：50/60Hz</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CC、CP功能：有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输出电压：≥75VDC</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输出电流：≤10A</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输出功率：≥800W</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稳压精度：≤1%</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稳流精度：≤1%</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电压纹波（P-P）：≤1%</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工作效率：≥0.93</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输入过压保护值：高于260VAC保护性关机</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输入欠压保护值：低于176VAC不启动</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过温保护值：高于80℃保护关机，低于60℃后可自恢复</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输出过压保护：≥80Vdc</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输出过流保护≥12A</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输出欠压保护：蓄电池组电压低于10V不启动</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输出短路保护：短路后恒流，解除后自恢复</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输出反接保护：反接后不启动，解除后自恢复</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绝缘电阻 输入对输出 DC1000V≥100MΩ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输入对机壳 DC1000V≥100MΩ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输出对机壳 DC1000V≥100MΩ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通讯 CAN 2.0</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辅助电源 ≤12V3A</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散热方式 风冷</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防护等级 IP65</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接插件 航空插头</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工作噪音 ≤60dB</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（3）单体电池</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电压：3.2V</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容量：40AH</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类型：磷酸铁锂</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（4）温度传感器</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常温电阻值：1000Ω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工作温度范围：-40℃~85℃</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储存温度范围：-40℃~125℃</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工作湿度范围(%)：0~95%</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温度检测精度：±1℃</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端子形式:螺栓接线端子</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（5）高压继电器</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触点额定电流：0 - 500A</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线圈电压：9 – 36V</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最大额定工作电压：0 – 2200V</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端子形式：螺栓接线端子</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（6）预充电阻</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电阻阻值：100Ω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电阻功率：100W</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电阻器类别：绕线式电阻器</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封装材料：工业铝材</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引出接线：铁氟龙高温线</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（7）点焊机</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输入电压：220V/50Hz(60Hz)</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输入电流：30A</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输入气源：压缩空气气压7~8Bar</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输出电压：5.5V</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输出功率：12KVA</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输出瞬间电流：1800A</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放电时间：最长20ms/周波</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最大行程：85mm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4、产品功能</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满足单体电池的分档、单体电压和内阻测试；模块拆装、打码、调试与检测；动力蓄电池的拆装、调试与检测；电池极柱焊接；接触器安装；高压连接器安装；热管理系统气密性检测；PACK气密性检测；车载充电机安装与检测、绝缘检测、接地检测；BMS安装、放电测试；直流充电接口装配与充电调试；交流充电接口装配与充电调试等零部件的分装调试，此工作站可以与充电装置分装调试工作站联动测试。</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D60B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r>
      <w:tr w14:paraId="78C76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AD28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4CB2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新能源汽车动力总成拆装实训台</w:t>
            </w:r>
          </w:p>
        </w:tc>
        <w:tc>
          <w:tcPr>
            <w:tcW w:w="3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70512">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一、产品简介</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该实训台围绕新能源车用电机及控制系统定向开发，配套电机控制器及动力电源箱。在实现动力总成拆装实训的同时又可实现车用永磁同步电机运行状态演示及常规信号检测。具有新能源汽车动力总成拆装检测、维修考核的功能。</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二、产品组成</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产品组成：动力总成拆装实训模块、多功能信息采集检测板、设备动力电源模块、三相高压连接线缆、低压通信连接线缆等重要组成件组成。</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三、功能介绍</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1.动力总成拆装实训模块</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（1）电动机类型为三相永磁同步电机，电动机最大输出扭矩310N.m, 额定扭矩160N.m, 最大输入功率160kW，额定功率80kW，最大输出转速12000rpm。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（2）变速器为单挡固定齿比变速器。</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（3）桌面承重采用方管支撑，台面上装有优质不锈钢折弯面板，真不锈钢材质，耐腐蚀，易清洁，受力均匀，桌面下有加厚钢板支撑，承重能力强,不易变形。</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（4）桌面平铺≥5mm厚度绝缘垫，可有效的避免拆装过程中，部件或油污的滑落对台面造成的损伤，同时也可避免各部件间硬接触造成元件损坏。</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（5）平台提供的动力总成完全满足电机绝缘电阻、接地电阻、气密性等检测和调试要求。</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（6）电机正常转动时，可借助示波器测量三相电的相位与旋变传感器的信号。</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7）平台具有电机与变速箱分离丝杆机构、电机定转子分离机构、变速箱360°任意翻转机构以及包括差速器轴承分离等拆装检测工装，实现电机与变速器、变速器各齿轮、差速器轴承等分离、清洁、检测、装配。电动机与变速器分离不需要吊装操作，无事故隐患。</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（8）平台台面四周设计了油槽，齿轮拆卸、清洗、安装时油污直接可以回流到集油装置，保持环境整洁。</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（9）平台采用上下双层结构梁支撑，承重大梁采用重型型材制作而成，安全稳固。平台采用钢质材料，加重阻尼脚轮，可承受不低于1.2吨的有效载荷。</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（10）平台有效解决了学员动力总成拆装与调试的高频率技能训练。</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2.多功能信息采集检测板</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（1）多功能信息采集检测板装有电机低压控制信号输入及输出插头，插头采用新能源原车低压信号插头，轻松实现对旋变传感器、高低压线束拆检。</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（2）多功能信息采集检测板装有低压通讯线缆插座，通过配套低压通信线束完成设备动力电源模块与多功能信息采集检测板之间的低压线路装配与连接。</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（3）设备配套有电机旋变信号和定子温度信号检测点，具有信号波形、阻值等进行诊断与分析的功能。</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3.设备动力电源模块</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（1）设备动力电源模块，模块结构选用坚固冷轧钢板，经过严格的脱脂、酸洗、防锈磷化、纯水清洗、静电喷涂等工艺流程，色泽自然、稳定性高、不易变形、耐水、耐老化。</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（2）配套车规级电机控制器，设备通电后，可动态展示电机正反转状态并实现转速可调，硬件加速、换档等操作增加真实实车操作感。</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（3）平台配有电机线接口、电机旋变传感器接口及地线接口，可方便连接多功能信息采集检测板为电机供电。</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（4）技术平台具有外接电源端口，可采用单相AC220V电源供电，同时控制柜内预留电池供电空间，可实现电机模块的单独运行。</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四、技术参数</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1.电动机类型为三相永磁同步电机，电动机最大输出扭矩310N.m, 额定扭矩160N.m, 最大输入功率160kW，额定功率80kW，最大输出转速12000rpm。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2.变速器为单挡固定齿比变速器。</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3.拆装台外观尺寸(长*宽*高):2000*1050*1100mm。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4.桌面平铺≥5mm厚度绝缘垫，避免拆装过程中部件或油污的滑落对台面造成的损伤，同时也可避免各部件间硬接触造成元件损坏。</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5.控制柜外观尺寸(长*宽*高):480*290*1010mm,柜内装有车规线永磁同步电机控制器，接线简洁，功能可靠，可实现电机正反转速1000以内可调，具有硬件启停、调速功能，控制器输出信号：输入电压、电机电流、电机转速，供电电压：DC72V，总功率小于7KW，配备通讯CAN通信接口。</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6.控制面板采用3mm亚克历背喷工艺，外观美观大方，色彩丰富不褪色，面板上置机械开关及CAN通信接口。</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7.配套提供设备使用手册和原厂维修手册。</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五、可完成实训项目：</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1、永磁同步电机与变速器的分离</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2、永磁同步电机与变速器的组装</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3、输入轴齿轮的分离</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4、输入轴齿轮的装配</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5、副轴齿轮的分离</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6、副轴齿轮的装配</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7、差速器齿轮的分离</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8、差速器齿轮的装配</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9、齿轮组磨损状况</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10、电机定转分离与安装</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11、电机定转子的检测</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12、副轴与差速器工作数据的检测</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六、配套工具</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尼龙棒、电机前轴承/差速器轴承安装工装、电机前轴承拆卸定位块、电机后轴承拆卸定位块、差速器轴承拆卸定位块、转子支撑专用工具、转子拆装导向支架、3轴摆放定位板、后箱体摆放定位板、电机花键手轮、轴承拆装压力机、2或3爪拉马通用、2或3爪拉马通用、2或3爪拉马通用型、轴承拉马、管钳、磁通测试仪、5V电源、三轴轴调整垫片（差速器调整垫片）、差速器半轴拆卸专用接杆、转子托架、转子轴承拆装固定座数量各1。</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1870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r>
      <w:tr w14:paraId="70FC3E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EEA6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4</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8C7D2">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新能源汽车故障诊断仿真教学系统</w:t>
            </w:r>
          </w:p>
        </w:tc>
        <w:tc>
          <w:tcPr>
            <w:tcW w:w="3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A7D85">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一、产品功能模块</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同时满足学生对大赛流程的学习、训练、考核以及教学需求和完整重现大赛的实际情景，也可以满足故障诊断课程教学功能。</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二、产品功能模块</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1.模式选择模块</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1)模式选择：包括“教学模式”、“训练模式”、“考核模式”</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2.故障设置模块</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1)故障点设置：菜单栏包括“全部”、“已选择故障点”以及各系统故障点等功能。</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2)全部：显示全部故障点。</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3)已选择故障点：对自动选择和手动选择故障点进行展示。</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4)各系统故障点：根据所选故障系统，只选择对应系统故障点，方便用户选择故障点。</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5)手动组卷模式：可以对故障点进行选择和取消选择。</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6)自动组卷模式：可通过设置需要设置的故障点数量，系统随机生成对应数量的故障点。</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7)故障检索：根据输入的关键字对故障点进行模糊筛选，筛选后可针对性的选择故障点进行训练及考核。</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8)故障点内容：包括“车身控制模块（BCM）”、“网关”、“前单目摄像头”、“电池管理系统（BMS）”、“高低压充电系统（ODP）”、“整车控制(VCU)”、“集成动力控制系统（PEU）”等模块，总故障点数量不低于50个。</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3.准备工作模块：</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1)车轮挡块：可对四个轮胎车轮挡块进行放置与回收操作。</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2)车外三件套：可对车辆左右翼子板布、前栅格布进行放置、回收与丢弃操作。</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3)车内四件套：可对车辆方向盘套、座椅套、换挡杆套、脚垫进行仿真、回收、丢弃操作。</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4)警戒线隔离栏：可对入口隔离栏进行打开或关闭操作。</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5)高压警示牌：可在入口处放置或回收高压警示牌。</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6)仪器仪表检查：可在仪器仪表桌上对仪器仪表进行外观检查。</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7)安全防护装备检查：可在安全防护用品桌上对安全帽、绝缘手套、防酸腐手套、棉手套、绝缘鞋、护目镜进行外观破损检查。</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8)灭火器检查：可在车辆后方灭火器摆放区，对灭火器进行外观及压力检查。</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4.车辆操作模块：</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1)车辆控制模块操作目录：目录包含车辆控制、车窗控制、后视镜控制、雨刮控制、灯光控制、遥控器控制、其他控制，模拟车辆实际操作。</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2)车辆控制界面：界面可以随意拖动，方便用户对车辆进行控制与观察车辆。</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3)车辆控制目录折叠：可以将车辆控制目录进行折叠与展开。</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车辆控制操作：车辆控制操作包含，一键启动操作；电子驻车操作，可以解除驻车和驻车；换挡操作，通过选择P、N、R、D档进行切换档位；加速踏板操作，可以调整加速踏板开度；制动踏板操作，可以调整制动踏板开度；方向盘操作，可以调整方向盘转角；喇叭操作，可以按下喇叭。</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5)车窗操作：车窗操作包含驾驶员侧车窗控制和乘客侧车窗控制，驾驶员侧车窗控制，可以对四个车窗进行升、降操作；车窗锁操作，可以锁止或解锁乘客侧车窗按钮。乘客车窗控制操作，乘客可以升、降右前、左后、右后车窗。</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6)后视镜操作：后视镜操作包含激活左侧后视镜调节操作，激活后可以对左后视镜镜片进行调节；激活右侧后视镜调节操作，激活后可以对右后后视镜镜片进行调节；后视镜镜片调节操作，可通过四个方向按就像镜片航向角、俯仰角调整；后视镜加热操作，激活后，可对后视镜进行加热处理；后视镜折叠操作，激活后，可以折叠后视镜。</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7)雨刮操作：雨刮操作可以控制雨刮器档位，只刮一次档位，按下后，雨刮只刮一次；雨刮间歇档，按下后，雨刮间隔一段时间刮一次；雨刮低速档，按下后，雨刮低速不间断的刮；雨刮高速档，按下后，雨刮高速不间断刮；雨刮关闭档，按下后，雨刮停止工作；雨刮喷水，按下后，雨刮器开始喷水，释放后，雨刮停止喷水。</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8)灯光操作：灯光操作包含灯光开关操作、灯光组合开关操作、阅读灯操作，灯光开关可以调整灯光模式，包含关闭灯光、自动灯光档位等；灯光组合开关操作包含左转向灯开关、右转向灯开关、近光灯开关、远光灯开关、超车灯开关。阅读灯操作包含前阅读灯开关、后阅读灯开关。</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9)遥控器操作：遥控器包含解锁后备箱操作、车辆解锁操作、车辆锁止操作。</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10)车辆信息显示：可以模拟车辆仪表界面和显示动态数据。</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11)其他控制：其他控制包含车门锁操作、前机舱盖解锁操作、后备箱解锁操作、后备箱关闭操作等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12)整车工况：可以显示基于数据引擎驱动实现整车在不同工况下的动态数据。</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5.选手报告单模块</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选手报告单内容填写：可对包括“选择可对故障现象描述”、“通过分析得出故障可能原因”、“故障检修过程”、“故障点和故障类型确认”、“故障机理分析”等内容进行填写。可以通过点击对应模块的添加按钮进行内容添加。</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2)选手报告单内容删除：可以对已经填写的单进行单条信息删除操作。删除时进行二次确认，避免误删。</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3)增加工单页：可以通过添加工单按钮来添加新的报告单页。</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4)删除当前页：可以通过点击删除当前页按钮，删除当前页工单。</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5)切换工单：可以通过点击上一页、下一页和工单对应的页码进行工单切换操作。</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6)维修记录工单：可以根据大赛的纸质工单样式和内容转化成电子版。</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6.诊断台架模块：</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1)端子信息：鼠标移入端子后，会显示端子名称，方便用户确定检测的端子点。</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2)端子操作：可以将表笔插入端子。</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3)视角拉近：可以双击非端子区域拉近视角，方便进行表笔连接操作。</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4)面板包括BCM、网关、前单目摄像头、BMS、ODP、VCU、PEU等插头测量孔。</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7.裁判模块：</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请求修复故障：故障排除过程中，如需裁判帮助可选择裁判区视角，通过操作可实现包括：请求裁判恢复故障等功能。同时可进行故障点选择并确认修复故障。故障修复页面可以进行故障点搜索，以方便快速找到故障点。</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2)请求上电：准备工作完成后，可向裁判提出上电请求，裁判会反馈是否可以上电。如果没有请求上电或裁判不允许上电而上电了，将会扣除相对于分数。</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8.举升机模块：</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1)车辆举升：对车辆进行举升或下降。</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2)举升安全提示：如在举升过程中，检测到举升机违规操作，将会做出提示，并扣除安全操作分数。</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9.视角导航模块：</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1)视角地图：根据大赛和整车排故要求。划分裁判区、填写工单区、仪器仪表等设备摆放区、入口通道、整车故障连接检测平台、清理清扫工具摆放区、机舱、车尾部、驾驶室、举升机等区域。</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2)隐藏或显示地图：通过点击底部视角地图关闭或打开按钮进行视角地图隐藏或关闭。</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3)视角导航：可以通过选中区域位置在软件场景中跳转到该区域在整车上的位置。</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10.维修资料模块：</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1)打开维修资料：通过点击场景中电脑，点击查阅，打开维修资料。</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2)关键字搜索：可以通过关键字，例如器件代号进行搜索，快速查询。</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3)上一页、下一页切换：可以通过点击上一页、下一页按钮，进行资料上下翻页。</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4)页码跳转：可以通过输入对应的页码进行页码跳转。</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5)页面缩放：可以通过滚轮或“+”、“-”按钮来缩放页面大小。</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6)页面目录：可以打开或关闭页面目录，方便查阅维修资料。</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7)自动缩放：可以选择自动缩放，自适应调整大小。</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11.评价模块：</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1)智能评价：提交实训任务后，系统会对整个操作进行智能评价。包含综合评价、选手报告单、裁判评分表、故障修复情况、总得分、操作用时、故障修复率等关键信息。</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综合评价：显示选手操作雷达图，包含作业准备、人物安全、设备使用、操作规范、、故障分析、安全操作、5S规范等七个维度。系统评价选手故障诊断结果以及AI训练建议，会根据选手操作情况，智能评估给予训练建议。</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3)报告单：显示选手填写的报告单。</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4)评分表：根据用户操作，虚拟裁判对用户操作进行系统评价，并将每项评价进行打分。每个评分点都有对应的配分和得分。</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5)故障修复情况：显示故障修复结果，主要包含故障设置数量、故障已修复数量、故障修复错误数量、故障未修复数量等。详细显示每个故障修复情况。</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12.器件操作模块：</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1)保险丝操作：可以进行保险丝插拔操作，可以对保险丝进行电阻测量操作。</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2)继电器操作：可以进行继电器拔插操作，可以对继电器进行外接电源进行通断检测。</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3)插头操作：可以断开或连接插头，断开插头后，能对端子进行电阻、电压测量操作。还可以连接插头适配器，方便做在线电压检测。</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4)电路图：在器件操作菜单选择电路图后，可以根据器件名称自动定位到对应的电路图页面，方便用户查阅电路图。</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5)端子信息标注：可以显示各个器件的接插件针脚信息。</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13.电子白板模块：满足教师教学使用和学生在排故时的草稿记录需求。</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1)画笔：包括硬笔和荧光笔两种使用需求，可对两种型号的笔进行粗细及颜色调节。尺寸不低于7种型号，颜色不低于8种颜色。</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2)橡皮擦：可以书写内容进行擦除</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3)形状：可选择箭头、方形、三角形等不低于5种形状选择。</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4)清屏：可对屏幕书写内容一键清楚</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5)撤销：撤销上一步操作</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6)恢复：恢复上一步动作时状态内容</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7)页码：可多页码书写，且可进行页码的自由切换。</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3A3B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r>
      <w:tr w14:paraId="5E5756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BF55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5</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59EBF">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一体化集成工具台</w:t>
            </w:r>
          </w:p>
        </w:tc>
        <w:tc>
          <w:tcPr>
            <w:tcW w:w="3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405DD">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产品特性：</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专门为汽车修理技术人员设计</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车体选用1.2MM厚冷轧板,保证强度,牢固结实</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尼龙轮（其中两个带刹车万向轮）,推车更灵活、承重更大</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带门锁的柜子,方便存放大件工具</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配套工具：</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高品质实木操作台,方便工具使用,噪音低</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10MM系列VDE绝缘6角套筒8MM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10MM系列VDE绝缘6角套筒10MM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10MM系列VDE绝缘6角套筒12MM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10MM系列VDE绝缘6角套筒13MM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10MM系列VDE绝缘6角套筒14MM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10MM系列VDE绝缘6角套筒16MM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10MM系列VDE绝缘6角套筒17MM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10MM系列VDE绝缘6角套筒18MM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10MM系列VDE绝缘转向接杆125MM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10MM系列VDE绝缘转向接杆250MM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10MM系列VDE绝缘快速脱济棘轮扳手200MM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12.5MM系列VDE绝缘快速脱洛棘轮板手250MM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12.5MM系列VDE绝缘T型柄200MM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12.5MM系列VDE绝缘转向接杆125MM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12.5MM系列VDE绝缘转向接杆250MM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12.5MM系列VDE绝缘6角套筒10MM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12.5MM系列VDE绝缘6角套筒11MM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12.5MM系列VDE绝缘6角套筒12MM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12.5MM系列VDE绝缘6角套筒13MM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12.5MM系列VDE绝缘6角套筒14MM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12.5MM系列VDE绝缘6角套筒16MM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12.5MM系列VDE绝缘6角套筒17MM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12.5MM系列VDE绝缘6角套筒19MM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12.5MM系列VDE绝缘6角套筒21MM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12.5MM系列VDE绝缘6角套筒22MM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12.5MM系列VDE绝缘6角套筒24MM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12.5MM系列VDE绝缘六角旋具套筒4MM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12.5MM系列VDE绝缘六角旋具套筒5MM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12.5MM系列VDE绝缘六角旋具套筒6MM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12.5MM系列VDE绝缘六角旋具套筒8MM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12.5MM系列VDE绝缘六角旋具套简10MM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VDE绝缘开口扳手8MM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VDE绝缘开口扳手10MM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VDE绝缘开口扳手12MM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VDE绝缘开口扳手13MM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VDE绝缘开口扳手14MM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VDE绝缘开口扳手15MM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VDE绝缘开口扳手16MM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VDE绝缘开口扳手17MM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VDE绝缘开口扳手18MM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VDE绝缘开口扳手19MM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VDE绝缘开口扳手21MM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VDE绝缘梅花板手12MM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VDE绝缘梅花板手13MM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VDE绝缘梅花板手14MM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VDE绝缘梅花板手15MM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VDE绝缘梅花板手16MM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VDE绝缘梅花板手17MM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VDE绝缘梅花板手18MM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VDE绝缘梅花扳手19MM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VDE绝缘梅花板手21MM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VDE绝缘梅花扳手22MM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VDE绝缘梅花板手24MM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VDE绝缘耐压活动扳手8"</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T系列双色柄十字绝缘螺丝批＃0x60MM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T系列双色柄十字绝缘螺丝批＃1x80MM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T系列双色柄十字绝缘螺丝批＃2x100MM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T系列双色柄一字绝缘螺丝批2.5x75MM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T系列双色柄一字绝缘螺丝批4x100MM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T系列双色柄一字绝缘螺丝批5.5x125MM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VDE绝缘耐压尖嘴钳8"</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VDE绝缘耐压斜嘴钳7"</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VDE绝缘耐压钢丝钳8"</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防护式VDE绝缘电缆利线刀</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VDE绝缘开口扳手22MM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VDE绝缘开口扳手24MM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VDE绝缘梅花扳手8MM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VDE绝缘梅花板手10MM</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2A69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r>
      <w:tr w14:paraId="4B30AF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7741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6</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10872">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万用接线盒</w:t>
            </w:r>
          </w:p>
        </w:tc>
        <w:tc>
          <w:tcPr>
            <w:tcW w:w="3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D6245">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技术要求：</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主要强调各种规格的“T”型线，能满足轿车竞赛系统的所有保险丝、继电器、传感器、执行器插接测量之用，要有足够的通流能力和可重复插接使用能力；</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探针：具备测量方便，不破坏原车线束；</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鳄鱼夹：用以作暂时性电路连接。锯齿状的夹口可以牢牢地夹住要着色的零件，保证不会让零件松脱，个性化的绝缘设计，操作更安全；</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可调电阻：可设置虚接故障；还可以起到保护用电器的作用。</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表笔头：用PVC硅胶线，表笔灵敏度高、精准、质量好耐用，可直插电源表使用。</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三通：测量性能高，使用方便。</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测试灯：方便用于检测器件是否带电，绝缘性能高。</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测试线：满足车辆各种检测保险丝、继电器、元器件插接测量</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9CBC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r>
      <w:tr w14:paraId="62A1DC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8496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7</w:t>
            </w:r>
          </w:p>
        </w:tc>
        <w:tc>
          <w:tcPr>
            <w:tcW w:w="6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0828A">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工位安全保护套装</w:t>
            </w:r>
          </w:p>
        </w:tc>
        <w:tc>
          <w:tcPr>
            <w:tcW w:w="3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1A170">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工位安全保护套装包括警示牌、隔离带套装、绝缘防护垫等各1套。</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1、警示牌：绝缘材质制作，表面喷涂"危险，请勿靠近”字样与带电符号。</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2、隔离带套装：可再次利用，对操作空间进行隔离；最长5m；可伸缩，每套6根围成一个工位。</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3、绝缘防护垫：最高耐压10KV，尺寸：5m x 1m x 5mm</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CCF4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r>
    </w:tbl>
    <w:p w14:paraId="43649038">
      <w:pPr>
        <w:pStyle w:val="16"/>
        <w:spacing w:line="440" w:lineRule="exact"/>
        <w:rPr>
          <w:rFonts w:hint="default" w:ascii="宋体" w:hAnsi="宋体" w:eastAsia="宋体" w:cs="宋体"/>
          <w:color w:val="auto"/>
          <w:sz w:val="21"/>
          <w:szCs w:val="21"/>
          <w:highlight w:val="none"/>
          <w:lang w:val="en-US" w:eastAsia="zh-CN"/>
        </w:rPr>
      </w:pPr>
    </w:p>
    <w:p w14:paraId="5BB3D511">
      <w:pPr>
        <w:pStyle w:val="6"/>
        <w:numPr>
          <w:ilvl w:val="0"/>
          <w:numId w:val="0"/>
        </w:numPr>
        <w:ind w:leftChars="0"/>
        <w:rPr>
          <w:rFonts w:hint="default"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 xml:space="preserve">3.质保期：自交付使用日起,一年及以上                     </w:t>
      </w:r>
      <w:r>
        <w:rPr>
          <w:rFonts w:hint="default" w:ascii="宋体" w:hAnsi="宋体" w:eastAsia="宋体" w:cs="宋体"/>
          <w:b/>
          <w:bCs/>
          <w:i w:val="0"/>
          <w:iCs w:val="0"/>
          <w:color w:val="auto"/>
          <w:kern w:val="0"/>
          <w:sz w:val="21"/>
          <w:szCs w:val="21"/>
          <w:u w:val="none"/>
          <w:lang w:val="en-US" w:eastAsia="zh-CN" w:bidi="ar"/>
        </w:rPr>
        <w:t xml:space="preserve">                    </w:t>
      </w:r>
    </w:p>
    <w:p w14:paraId="676442EF">
      <w:pPr>
        <w:pStyle w:val="6"/>
        <w:numPr>
          <w:ilvl w:val="0"/>
          <w:numId w:val="0"/>
        </w:numPr>
        <w:ind w:leftChars="0"/>
        <w:rPr>
          <w:rFonts w:hint="default"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4.</w:t>
      </w:r>
      <w:r>
        <w:rPr>
          <w:rFonts w:hint="default" w:ascii="宋体" w:hAnsi="宋体" w:eastAsia="宋体" w:cs="宋体"/>
          <w:b/>
          <w:bCs/>
          <w:i w:val="0"/>
          <w:iCs w:val="0"/>
          <w:color w:val="auto"/>
          <w:kern w:val="0"/>
          <w:sz w:val="21"/>
          <w:szCs w:val="21"/>
          <w:u w:val="none"/>
          <w:lang w:val="en-US" w:eastAsia="zh-CN" w:bidi="ar"/>
        </w:rPr>
        <w:t>交货时间： 合同签订后30日历天</w:t>
      </w:r>
      <w:r>
        <w:rPr>
          <w:rFonts w:hint="eastAsia" w:ascii="宋体" w:hAnsi="宋体" w:eastAsia="宋体" w:cs="宋体"/>
          <w:b/>
          <w:bCs/>
          <w:i w:val="0"/>
          <w:iCs w:val="0"/>
          <w:color w:val="auto"/>
          <w:kern w:val="0"/>
          <w:sz w:val="21"/>
          <w:szCs w:val="21"/>
          <w:u w:val="none"/>
          <w:lang w:val="en-US" w:eastAsia="zh-CN" w:bidi="ar"/>
        </w:rPr>
        <w:t>内</w:t>
      </w:r>
      <w:r>
        <w:rPr>
          <w:rFonts w:hint="default" w:ascii="宋体" w:hAnsi="宋体" w:eastAsia="宋体" w:cs="宋体"/>
          <w:b/>
          <w:bCs/>
          <w:i w:val="0"/>
          <w:iCs w:val="0"/>
          <w:color w:val="auto"/>
          <w:kern w:val="0"/>
          <w:sz w:val="21"/>
          <w:szCs w:val="21"/>
          <w:u w:val="none"/>
          <w:lang w:val="en-US" w:eastAsia="zh-CN" w:bidi="ar"/>
        </w:rPr>
        <w:t xml:space="preserve">                  </w:t>
      </w:r>
    </w:p>
    <w:p w14:paraId="2CD3A86A">
      <w:pPr>
        <w:pStyle w:val="6"/>
        <w:numPr>
          <w:ilvl w:val="0"/>
          <w:numId w:val="0"/>
        </w:numPr>
        <w:ind w:leftChars="0"/>
        <w:rPr>
          <w:rFonts w:hint="default"/>
          <w:color w:val="auto"/>
          <w:lang w:val="en-US" w:eastAsia="zh-CN"/>
        </w:rPr>
      </w:pPr>
      <w:r>
        <w:rPr>
          <w:rFonts w:hint="eastAsia" w:ascii="宋体" w:hAnsi="宋体" w:eastAsia="宋体" w:cs="宋体"/>
          <w:b/>
          <w:bCs/>
          <w:i w:val="0"/>
          <w:iCs w:val="0"/>
          <w:color w:val="auto"/>
          <w:kern w:val="0"/>
          <w:sz w:val="21"/>
          <w:szCs w:val="21"/>
          <w:u w:val="none"/>
          <w:lang w:val="en-US" w:eastAsia="zh-CN" w:bidi="ar"/>
        </w:rPr>
        <w:t>5.</w:t>
      </w:r>
      <w:r>
        <w:rPr>
          <w:rFonts w:hint="default" w:ascii="宋体" w:hAnsi="宋体" w:eastAsia="宋体" w:cs="宋体"/>
          <w:b/>
          <w:bCs/>
          <w:i w:val="0"/>
          <w:iCs w:val="0"/>
          <w:color w:val="auto"/>
          <w:kern w:val="0"/>
          <w:sz w:val="21"/>
          <w:szCs w:val="21"/>
          <w:u w:val="none"/>
          <w:lang w:val="en-US" w:eastAsia="zh-CN" w:bidi="ar"/>
        </w:rPr>
        <w:t xml:space="preserve">交货地点：江苏省金坛中等专业学校  </w:t>
      </w:r>
      <w:r>
        <w:rPr>
          <w:rFonts w:hint="default"/>
          <w:color w:val="auto"/>
          <w:lang w:val="en-US" w:eastAsia="zh-CN"/>
        </w:rPr>
        <w:t xml:space="preserve">                 </w:t>
      </w:r>
    </w:p>
    <w:p w14:paraId="06FA40BD">
      <w:pPr>
        <w:pStyle w:val="16"/>
        <w:spacing w:line="440" w:lineRule="exact"/>
        <w:ind w:firstLine="426" w:firstLineChars="202"/>
        <w:rPr>
          <w:rFonts w:hint="default" w:asciiTheme="minorEastAsia" w:hAnsiTheme="minorEastAsia" w:eastAsiaTheme="minorEastAsia" w:cstheme="minorEastAsia"/>
          <w:b/>
          <w:color w:val="auto"/>
          <w:sz w:val="21"/>
          <w:szCs w:val="21"/>
          <w:highlight w:val="none"/>
        </w:rPr>
      </w:pPr>
      <w:r>
        <w:rPr>
          <w:rFonts w:asciiTheme="minorEastAsia" w:hAnsiTheme="minorEastAsia" w:eastAsiaTheme="minorEastAsia" w:cstheme="minorEastAsia"/>
          <w:b/>
          <w:color w:val="auto"/>
          <w:sz w:val="21"/>
          <w:szCs w:val="21"/>
          <w:highlight w:val="none"/>
        </w:rPr>
        <w:t>第二条 合同价格</w:t>
      </w:r>
    </w:p>
    <w:p w14:paraId="7591AE54">
      <w:pPr>
        <w:pStyle w:val="16"/>
        <w:spacing w:line="440" w:lineRule="exact"/>
        <w:ind w:firstLine="426" w:firstLineChars="202"/>
        <w:jc w:val="left"/>
        <w:rPr>
          <w:rFonts w:hint="default" w:asciiTheme="minorEastAsia" w:hAnsiTheme="minorEastAsia" w:eastAsiaTheme="minorEastAsia" w:cstheme="minorEastAsia"/>
          <w:b/>
          <w:color w:val="auto"/>
          <w:sz w:val="21"/>
          <w:szCs w:val="21"/>
          <w:highlight w:val="none"/>
        </w:rPr>
      </w:pPr>
      <w:r>
        <w:rPr>
          <w:rFonts w:asciiTheme="minorEastAsia" w:hAnsiTheme="minorEastAsia" w:eastAsiaTheme="minorEastAsia" w:cstheme="minorEastAsia"/>
          <w:b/>
          <w:color w:val="auto"/>
          <w:sz w:val="21"/>
          <w:szCs w:val="21"/>
          <w:highlight w:val="none"/>
        </w:rPr>
        <w:t>签约合同</w:t>
      </w:r>
      <w:r>
        <w:rPr>
          <w:rFonts w:hint="eastAsia" w:asciiTheme="minorEastAsia" w:hAnsiTheme="minorEastAsia" w:eastAsiaTheme="minorEastAsia" w:cstheme="minorEastAsia"/>
          <w:b/>
          <w:color w:val="auto"/>
          <w:sz w:val="21"/>
          <w:szCs w:val="21"/>
          <w:highlight w:val="none"/>
          <w:lang w:val="en-US" w:eastAsia="zh-CN"/>
        </w:rPr>
        <w:t>价</w:t>
      </w:r>
      <w:r>
        <w:rPr>
          <w:rFonts w:asciiTheme="minorEastAsia" w:hAnsiTheme="minorEastAsia" w:eastAsiaTheme="minorEastAsia" w:cstheme="minorEastAsia"/>
          <w:b/>
          <w:color w:val="auto"/>
          <w:sz w:val="21"/>
          <w:szCs w:val="21"/>
          <w:highlight w:val="none"/>
        </w:rPr>
        <w:t>：</w:t>
      </w:r>
      <w:r>
        <w:rPr>
          <w:rFonts w:asciiTheme="minorEastAsia" w:hAnsiTheme="minorEastAsia" w:eastAsiaTheme="minorEastAsia" w:cstheme="minorEastAsia"/>
          <w:b/>
          <w:color w:val="auto"/>
          <w:sz w:val="21"/>
          <w:szCs w:val="21"/>
          <w:highlight w:val="none"/>
          <w:u w:val="single"/>
        </w:rPr>
        <w:t xml:space="preserve">             </w:t>
      </w:r>
      <w:r>
        <w:rPr>
          <w:rFonts w:hint="eastAsia" w:asciiTheme="minorEastAsia" w:hAnsiTheme="minorEastAsia" w:eastAsiaTheme="minorEastAsia" w:cstheme="minorEastAsia"/>
          <w:b/>
          <w:color w:val="auto"/>
          <w:sz w:val="21"/>
          <w:szCs w:val="21"/>
          <w:highlight w:val="none"/>
          <w:u w:val="single"/>
          <w:lang w:val="en-US" w:eastAsia="zh-CN"/>
        </w:rPr>
        <w:t>元</w:t>
      </w:r>
      <w:r>
        <w:rPr>
          <w:rFonts w:asciiTheme="minorEastAsia" w:hAnsiTheme="minorEastAsia" w:eastAsiaTheme="minorEastAsia" w:cstheme="minorEastAsia"/>
          <w:b/>
          <w:color w:val="auto"/>
          <w:sz w:val="21"/>
          <w:szCs w:val="21"/>
          <w:highlight w:val="none"/>
        </w:rPr>
        <w:t xml:space="preserve">。 </w:t>
      </w:r>
    </w:p>
    <w:p w14:paraId="5A8893D5">
      <w:pPr>
        <w:pStyle w:val="16"/>
        <w:spacing w:line="440" w:lineRule="exact"/>
        <w:ind w:firstLine="424" w:firstLineChars="202"/>
        <w:rPr>
          <w:rFonts w:hint="default" w:asciiTheme="minorEastAsia" w:hAnsiTheme="minorEastAsia" w:eastAsiaTheme="minorEastAsia" w:cstheme="minorEastAsia"/>
          <w:color w:val="auto"/>
          <w:sz w:val="21"/>
          <w:szCs w:val="21"/>
          <w:highlight w:val="none"/>
        </w:rPr>
      </w:pPr>
      <w:r>
        <w:rPr>
          <w:rFonts w:asciiTheme="minorEastAsia" w:hAnsiTheme="minorEastAsia" w:eastAsiaTheme="minorEastAsia" w:cstheme="minorEastAsia"/>
          <w:color w:val="auto"/>
          <w:sz w:val="21"/>
          <w:szCs w:val="21"/>
          <w:highlight w:val="none"/>
        </w:rPr>
        <w:t>本合同总价包括谈判文件所确定的采购范围相应服务的提供、人员（包括工资和补贴）、办公场所及设施、保险、劳保、管理、各种税费、利润、税金、政策性文件规定及合同包含的所有风险、责任等各项应有费用，以及为完成该项服务项目所涉及到的一切相关费用，采购人不再支付其他任何费用。</w:t>
      </w:r>
    </w:p>
    <w:p w14:paraId="259E9936">
      <w:pPr>
        <w:pStyle w:val="16"/>
        <w:spacing w:line="440" w:lineRule="exact"/>
        <w:ind w:firstLine="424" w:firstLineChars="202"/>
        <w:rPr>
          <w:rFonts w:hint="default" w:asciiTheme="minorEastAsia" w:hAnsiTheme="minorEastAsia" w:eastAsiaTheme="minorEastAsia" w:cstheme="minorEastAsia"/>
          <w:color w:val="auto"/>
          <w:sz w:val="21"/>
          <w:szCs w:val="21"/>
          <w:highlight w:val="none"/>
        </w:rPr>
      </w:pPr>
      <w:r>
        <w:rPr>
          <w:rFonts w:asciiTheme="minorEastAsia" w:hAnsiTheme="minorEastAsia" w:eastAsiaTheme="minorEastAsia" w:cstheme="minorEastAsia"/>
          <w:color w:val="auto"/>
          <w:sz w:val="21"/>
          <w:szCs w:val="21"/>
          <w:highlight w:val="none"/>
        </w:rPr>
        <w:t>本合同总价款还包含乙方应当提供的伴随服务/售后服务费用。</w:t>
      </w:r>
    </w:p>
    <w:p w14:paraId="3B8F95BA">
      <w:pPr>
        <w:pStyle w:val="16"/>
        <w:spacing w:line="440" w:lineRule="exact"/>
        <w:ind w:firstLine="426" w:firstLineChars="202"/>
        <w:rPr>
          <w:rFonts w:hint="default" w:asciiTheme="minorEastAsia" w:hAnsiTheme="minorEastAsia" w:eastAsiaTheme="minorEastAsia" w:cstheme="minorEastAsia"/>
          <w:b/>
          <w:color w:val="auto"/>
          <w:sz w:val="21"/>
          <w:szCs w:val="21"/>
          <w:highlight w:val="none"/>
        </w:rPr>
      </w:pPr>
      <w:r>
        <w:rPr>
          <w:rFonts w:asciiTheme="minorEastAsia" w:hAnsiTheme="minorEastAsia" w:eastAsiaTheme="minorEastAsia" w:cstheme="minorEastAsia"/>
          <w:b/>
          <w:color w:val="auto"/>
          <w:sz w:val="21"/>
          <w:szCs w:val="21"/>
          <w:highlight w:val="none"/>
        </w:rPr>
        <w:t>第三条 组成本合同的有关文件</w:t>
      </w:r>
    </w:p>
    <w:p w14:paraId="0F491B52">
      <w:pPr>
        <w:pStyle w:val="16"/>
        <w:spacing w:line="440" w:lineRule="exact"/>
        <w:ind w:firstLine="424" w:firstLineChars="202"/>
        <w:rPr>
          <w:rFonts w:hint="default" w:asciiTheme="minorEastAsia" w:hAnsiTheme="minorEastAsia" w:eastAsiaTheme="minorEastAsia" w:cstheme="minorEastAsia"/>
          <w:color w:val="auto"/>
          <w:sz w:val="21"/>
          <w:szCs w:val="21"/>
          <w:highlight w:val="none"/>
        </w:rPr>
      </w:pPr>
      <w:r>
        <w:rPr>
          <w:rFonts w:asciiTheme="minorEastAsia" w:hAnsiTheme="minorEastAsia" w:eastAsiaTheme="minorEastAsia" w:cstheme="minorEastAsia"/>
          <w:color w:val="auto"/>
          <w:sz w:val="21"/>
          <w:szCs w:val="21"/>
          <w:highlight w:val="none"/>
        </w:rPr>
        <w:t>下列与本次采购活动有关的文件及有关附件是本合同不可分割的组成部分，与本合同具有同等法律效力，这些文件包括但不限于：</w:t>
      </w:r>
    </w:p>
    <w:p w14:paraId="1B6FDEF8">
      <w:pPr>
        <w:pStyle w:val="16"/>
        <w:numPr>
          <w:ilvl w:val="0"/>
          <w:numId w:val="2"/>
        </w:numPr>
        <w:spacing w:line="440" w:lineRule="exact"/>
        <w:ind w:firstLine="424" w:firstLineChars="202"/>
        <w:rPr>
          <w:rFonts w:hint="default" w:asciiTheme="minorEastAsia" w:hAnsiTheme="minorEastAsia" w:eastAsiaTheme="minorEastAsia" w:cstheme="minorEastAsia"/>
          <w:color w:val="auto"/>
          <w:sz w:val="21"/>
          <w:szCs w:val="21"/>
          <w:highlight w:val="none"/>
        </w:rPr>
      </w:pPr>
      <w:r>
        <w:rPr>
          <w:rFonts w:asciiTheme="minorEastAsia" w:hAnsiTheme="minorEastAsia" w:eastAsiaTheme="minorEastAsia" w:cstheme="minorEastAsia"/>
          <w:color w:val="auto"/>
          <w:sz w:val="21"/>
          <w:szCs w:val="21"/>
          <w:highlight w:val="none"/>
        </w:rPr>
        <w:t>竞争性谈判文件</w:t>
      </w:r>
    </w:p>
    <w:p w14:paraId="78FF7141">
      <w:pPr>
        <w:pStyle w:val="16"/>
        <w:numPr>
          <w:ilvl w:val="0"/>
          <w:numId w:val="2"/>
        </w:numPr>
        <w:spacing w:line="440" w:lineRule="exact"/>
        <w:ind w:firstLine="424" w:firstLineChars="202"/>
        <w:rPr>
          <w:rFonts w:hint="default" w:asciiTheme="minorEastAsia" w:hAnsiTheme="minorEastAsia" w:eastAsiaTheme="minorEastAsia" w:cstheme="minorEastAsia"/>
          <w:color w:val="auto"/>
          <w:sz w:val="21"/>
          <w:szCs w:val="21"/>
          <w:highlight w:val="none"/>
        </w:rPr>
      </w:pPr>
      <w:r>
        <w:rPr>
          <w:rFonts w:asciiTheme="minorEastAsia" w:hAnsiTheme="minorEastAsia" w:eastAsiaTheme="minorEastAsia" w:cstheme="minorEastAsia"/>
          <w:color w:val="auto"/>
          <w:sz w:val="21"/>
          <w:szCs w:val="21"/>
          <w:highlight w:val="none"/>
        </w:rPr>
        <w:t xml:space="preserve">乙方提供的响应文件； </w:t>
      </w:r>
    </w:p>
    <w:p w14:paraId="640DAA75">
      <w:pPr>
        <w:pStyle w:val="16"/>
        <w:numPr>
          <w:ilvl w:val="0"/>
          <w:numId w:val="2"/>
        </w:numPr>
        <w:spacing w:line="440" w:lineRule="exact"/>
        <w:ind w:firstLine="424" w:firstLineChars="202"/>
        <w:rPr>
          <w:rFonts w:hint="default" w:asciiTheme="minorEastAsia" w:hAnsiTheme="minorEastAsia" w:eastAsiaTheme="minorEastAsia" w:cstheme="minorEastAsia"/>
          <w:color w:val="auto"/>
          <w:sz w:val="21"/>
          <w:szCs w:val="21"/>
          <w:highlight w:val="none"/>
        </w:rPr>
      </w:pPr>
      <w:r>
        <w:rPr>
          <w:rFonts w:asciiTheme="minorEastAsia" w:hAnsiTheme="minorEastAsia" w:eastAsiaTheme="minorEastAsia" w:cstheme="minorEastAsia"/>
          <w:color w:val="auto"/>
          <w:sz w:val="21"/>
          <w:szCs w:val="21"/>
          <w:highlight w:val="none"/>
        </w:rPr>
        <w:t xml:space="preserve">成交通知书；          </w:t>
      </w:r>
    </w:p>
    <w:p w14:paraId="2AC444B9">
      <w:pPr>
        <w:pStyle w:val="16"/>
        <w:spacing w:line="440" w:lineRule="exact"/>
        <w:rPr>
          <w:rFonts w:hint="default" w:asciiTheme="minorEastAsia" w:hAnsiTheme="minorEastAsia" w:eastAsiaTheme="minorEastAsia" w:cstheme="minorEastAsia"/>
          <w:color w:val="auto"/>
          <w:sz w:val="21"/>
          <w:szCs w:val="21"/>
          <w:highlight w:val="none"/>
        </w:rPr>
      </w:pPr>
      <w:r>
        <w:rPr>
          <w:rFonts w:asciiTheme="minorEastAsia" w:hAnsiTheme="minorEastAsia" w:eastAsiaTheme="minorEastAsia" w:cstheme="minorEastAsia"/>
          <w:color w:val="auto"/>
          <w:sz w:val="21"/>
          <w:szCs w:val="21"/>
          <w:highlight w:val="none"/>
        </w:rPr>
        <w:t xml:space="preserve">    （</w:t>
      </w:r>
      <w:r>
        <w:rPr>
          <w:rFonts w:hint="eastAsia" w:asciiTheme="minorEastAsia" w:hAnsiTheme="minorEastAsia" w:eastAsiaTheme="minorEastAsia" w:cstheme="minorEastAsia"/>
          <w:color w:val="auto"/>
          <w:sz w:val="21"/>
          <w:szCs w:val="21"/>
          <w:highlight w:val="none"/>
          <w:lang w:val="en-US" w:eastAsia="zh-CN"/>
        </w:rPr>
        <w:t>4</w:t>
      </w:r>
      <w:r>
        <w:rPr>
          <w:rFonts w:asciiTheme="minorEastAsia" w:hAnsiTheme="minorEastAsia" w:eastAsiaTheme="minorEastAsia" w:cstheme="minorEastAsia"/>
          <w:color w:val="auto"/>
          <w:sz w:val="21"/>
          <w:szCs w:val="21"/>
          <w:highlight w:val="none"/>
        </w:rPr>
        <w:t>）甲乙双方商定的其他文件等。</w:t>
      </w:r>
    </w:p>
    <w:p w14:paraId="059B6EE8">
      <w:pPr>
        <w:pStyle w:val="16"/>
        <w:spacing w:line="440" w:lineRule="exact"/>
        <w:ind w:firstLine="426" w:firstLineChars="202"/>
        <w:rPr>
          <w:rFonts w:hint="default" w:asciiTheme="minorEastAsia" w:hAnsiTheme="minorEastAsia" w:eastAsiaTheme="minorEastAsia" w:cstheme="minorEastAsia"/>
          <w:b/>
          <w:bCs/>
          <w:color w:val="auto"/>
          <w:sz w:val="21"/>
          <w:szCs w:val="21"/>
          <w:highlight w:val="none"/>
          <w:lang w:val="en-US" w:eastAsia="zh-CN"/>
        </w:rPr>
      </w:pPr>
      <w:r>
        <w:rPr>
          <w:rFonts w:asciiTheme="minorEastAsia" w:hAnsiTheme="minorEastAsia" w:eastAsiaTheme="minorEastAsia" w:cstheme="minorEastAsia"/>
          <w:b/>
          <w:bCs/>
          <w:color w:val="auto"/>
          <w:sz w:val="21"/>
          <w:szCs w:val="21"/>
          <w:highlight w:val="none"/>
        </w:rPr>
        <w:t>第四条 履约保证金</w:t>
      </w:r>
      <w:r>
        <w:rPr>
          <w:rFonts w:hint="eastAsia" w:asciiTheme="minorEastAsia" w:hAnsiTheme="minorEastAsia" w:eastAsiaTheme="minorEastAsia" w:cstheme="minorEastAsia"/>
          <w:b/>
          <w:bCs/>
          <w:color w:val="auto"/>
          <w:sz w:val="21"/>
          <w:szCs w:val="21"/>
          <w:highlight w:val="none"/>
          <w:lang w:val="en-US" w:eastAsia="zh-CN"/>
        </w:rPr>
        <w:t xml:space="preserve">  无。</w:t>
      </w:r>
    </w:p>
    <w:p w14:paraId="4DB997F8">
      <w:pPr>
        <w:adjustRightInd w:val="0"/>
        <w:snapToGrid w:val="0"/>
        <w:spacing w:line="440" w:lineRule="exact"/>
        <w:ind w:firstLine="426" w:firstLineChars="202"/>
        <w:rPr>
          <w:rFonts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第五条 合同履行期限</w:t>
      </w:r>
    </w:p>
    <w:p w14:paraId="2AA02C9C">
      <w:pPr>
        <w:adjustRightInd w:val="0"/>
        <w:snapToGrid w:val="0"/>
        <w:spacing w:line="440" w:lineRule="exact"/>
        <w:ind w:firstLine="426" w:firstLineChars="202"/>
        <w:rPr>
          <w:rFonts w:hint="eastAsia" w:asciiTheme="minorEastAsia" w:hAnsiTheme="minorEastAsia" w:eastAsiaTheme="minorEastAsia" w:cstheme="minorEastAsia"/>
          <w:b/>
          <w:color w:val="auto"/>
          <w:sz w:val="21"/>
          <w:szCs w:val="21"/>
          <w:highlight w:val="yellow"/>
        </w:rPr>
      </w:pPr>
      <w:r>
        <w:rPr>
          <w:rFonts w:hint="eastAsia" w:asciiTheme="minorEastAsia" w:hAnsiTheme="minorEastAsia" w:eastAsiaTheme="minorEastAsia" w:cstheme="minorEastAsia"/>
          <w:b/>
          <w:color w:val="auto"/>
          <w:sz w:val="21"/>
          <w:szCs w:val="21"/>
          <w:highlight w:val="yellow"/>
          <w:lang w:val="en-US" w:eastAsia="zh-CN"/>
        </w:rPr>
        <w:t>1年，</w:t>
      </w:r>
      <w:r>
        <w:rPr>
          <w:rFonts w:hint="eastAsia" w:asciiTheme="minorEastAsia" w:hAnsiTheme="minorEastAsia" w:eastAsiaTheme="minorEastAsia" w:cstheme="minorEastAsia"/>
          <w:b/>
          <w:color w:val="auto"/>
          <w:sz w:val="21"/>
          <w:szCs w:val="21"/>
          <w:highlight w:val="yellow"/>
        </w:rPr>
        <w:t>本</w:t>
      </w:r>
      <w:r>
        <w:rPr>
          <w:rFonts w:hint="eastAsia" w:asciiTheme="minorEastAsia" w:hAnsiTheme="minorEastAsia" w:eastAsiaTheme="minorEastAsia" w:cstheme="minorEastAsia"/>
          <w:b/>
          <w:color w:val="auto"/>
          <w:sz w:val="21"/>
          <w:szCs w:val="21"/>
          <w:highlight w:val="yellow"/>
          <w:lang w:val="en-US" w:eastAsia="zh-CN"/>
        </w:rPr>
        <w:t>项目服务期限</w:t>
      </w:r>
      <w:r>
        <w:rPr>
          <w:rFonts w:hint="eastAsia" w:asciiTheme="minorEastAsia" w:hAnsiTheme="minorEastAsia" w:eastAsiaTheme="minorEastAsia" w:cstheme="minorEastAsia"/>
          <w:b/>
          <w:color w:val="auto"/>
          <w:sz w:val="21"/>
          <w:szCs w:val="21"/>
          <w:highlight w:val="yellow"/>
        </w:rPr>
        <w:t>从    年  月    日至    年  月  日</w:t>
      </w:r>
      <w:r>
        <w:rPr>
          <w:rFonts w:hint="eastAsia" w:asciiTheme="minorEastAsia" w:hAnsiTheme="minorEastAsia" w:eastAsiaTheme="minorEastAsia" w:cstheme="minorEastAsia"/>
          <w:b/>
          <w:color w:val="auto"/>
          <w:sz w:val="21"/>
          <w:szCs w:val="21"/>
          <w:highlight w:val="yellow"/>
          <w:lang w:eastAsia="zh-CN"/>
        </w:rPr>
        <w:t>，</w:t>
      </w:r>
      <w:r>
        <w:rPr>
          <w:rFonts w:hint="eastAsia" w:asciiTheme="minorEastAsia" w:hAnsiTheme="minorEastAsia" w:eastAsiaTheme="minorEastAsia" w:cstheme="minorEastAsia"/>
          <w:b/>
          <w:color w:val="auto"/>
          <w:sz w:val="21"/>
          <w:szCs w:val="21"/>
          <w:highlight w:val="yellow"/>
        </w:rPr>
        <w:t>以合同生效之日起开始计算。</w:t>
      </w:r>
    </w:p>
    <w:p w14:paraId="0354E548">
      <w:pPr>
        <w:adjustRightInd w:val="0"/>
        <w:snapToGrid w:val="0"/>
        <w:spacing w:line="440" w:lineRule="exact"/>
        <w:ind w:firstLine="426" w:firstLineChars="202"/>
        <w:rPr>
          <w:rFonts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第六条 合同款结算及支付</w:t>
      </w:r>
    </w:p>
    <w:p w14:paraId="6C7447AF">
      <w:pPr>
        <w:adjustRightInd w:val="0"/>
        <w:snapToGrid w:val="0"/>
        <w:spacing w:line="440" w:lineRule="exact"/>
        <w:ind w:firstLine="420" w:firstLineChars="200"/>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1.本合同项下所有款项均以人民币支付。</w:t>
      </w:r>
    </w:p>
    <w:p w14:paraId="401F7DE7">
      <w:pPr>
        <w:adjustRightInd w:val="0"/>
        <w:snapToGrid w:val="0"/>
        <w:spacing w:line="440" w:lineRule="exact"/>
        <w:ind w:firstLine="420" w:firstLineChars="200"/>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2.本合同项下的采购资金由甲方自行支付，乙方向甲方开具发票。</w:t>
      </w:r>
    </w:p>
    <w:p w14:paraId="7D0895B4">
      <w:pPr>
        <w:adjustRightInd w:val="0"/>
        <w:snapToGrid w:val="0"/>
        <w:spacing w:line="440" w:lineRule="exact"/>
        <w:ind w:firstLine="420" w:firstLineChars="200"/>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3.结算原则：</w:t>
      </w:r>
      <w:r>
        <w:rPr>
          <w:rFonts w:hint="eastAsia" w:asciiTheme="minorEastAsia" w:hAnsiTheme="minorEastAsia" w:eastAsiaTheme="minorEastAsia" w:cstheme="minorEastAsia"/>
          <w:color w:val="auto"/>
          <w:sz w:val="21"/>
          <w:szCs w:val="21"/>
          <w:highlight w:val="none"/>
          <w:lang w:val="en-US" w:eastAsia="zh-CN"/>
        </w:rPr>
        <w:t>按实结算</w:t>
      </w:r>
      <w:r>
        <w:rPr>
          <w:rFonts w:hint="eastAsia" w:asciiTheme="minorEastAsia" w:hAnsiTheme="minorEastAsia" w:eastAsiaTheme="minorEastAsia" w:cstheme="minorEastAsia"/>
          <w:color w:val="auto"/>
          <w:sz w:val="21"/>
          <w:szCs w:val="21"/>
          <w:highlight w:val="none"/>
        </w:rPr>
        <w:t>。</w:t>
      </w:r>
    </w:p>
    <w:p w14:paraId="2211C276">
      <w:pPr>
        <w:adjustRightInd w:val="0"/>
        <w:snapToGrid w:val="0"/>
        <w:spacing w:line="440" w:lineRule="exact"/>
        <w:ind w:firstLine="424" w:firstLineChars="202"/>
        <w:rPr>
          <w:rFonts w:hint="eastAsia" w:asciiTheme="minorEastAsia" w:hAnsiTheme="minorEastAsia" w:eastAsiaTheme="minorEastAsia" w:cstheme="minorEastAsia"/>
          <w:color w:val="auto"/>
          <w:sz w:val="21"/>
          <w:szCs w:val="21"/>
          <w:highlight w:val="yellow"/>
        </w:rPr>
      </w:pPr>
      <w:r>
        <w:rPr>
          <w:rFonts w:hint="eastAsia" w:asciiTheme="minorEastAsia" w:hAnsiTheme="minorEastAsia" w:eastAsiaTheme="minorEastAsia" w:cstheme="minorEastAsia"/>
          <w:color w:val="auto"/>
          <w:sz w:val="21"/>
          <w:szCs w:val="21"/>
          <w:highlight w:val="yellow"/>
        </w:rPr>
        <w:t>4.</w:t>
      </w:r>
      <w:r>
        <w:rPr>
          <w:rFonts w:hint="eastAsia" w:asciiTheme="minorEastAsia" w:hAnsiTheme="minorEastAsia" w:eastAsiaTheme="minorEastAsia" w:cstheme="minorEastAsia"/>
          <w:color w:val="auto"/>
          <w:sz w:val="21"/>
          <w:szCs w:val="21"/>
          <w:highlight w:val="yellow"/>
        </w:rPr>
        <w:t>付款方式：</w:t>
      </w:r>
    </w:p>
    <w:p w14:paraId="3E5603A1">
      <w:pPr>
        <w:adjustRightInd w:val="0"/>
        <w:snapToGrid w:val="0"/>
        <w:spacing w:line="440" w:lineRule="exact"/>
        <w:ind w:firstLine="426" w:firstLineChars="202"/>
        <w:rPr>
          <w:rFonts w:hint="eastAsia" w:asciiTheme="minorEastAsia" w:hAnsiTheme="minorEastAsia" w:eastAsiaTheme="minorEastAsia" w:cstheme="minorEastAsia"/>
          <w:color w:val="auto"/>
          <w:sz w:val="21"/>
          <w:szCs w:val="21"/>
          <w:highlight w:val="yellow"/>
        </w:rPr>
      </w:pPr>
      <w:r>
        <w:rPr>
          <w:rFonts w:hint="eastAsia" w:asciiTheme="minorEastAsia" w:hAnsiTheme="minorEastAsia" w:eastAsiaTheme="minorEastAsia" w:cstheme="minorEastAsia"/>
          <w:b/>
          <w:bCs/>
          <w:color w:val="auto"/>
          <w:sz w:val="21"/>
          <w:szCs w:val="21"/>
          <w:highlight w:val="yellow"/>
          <w:lang w:val="en-US" w:eastAsia="zh-CN"/>
        </w:rPr>
        <w:t xml:space="preserve"> 1、</w:t>
      </w:r>
      <w:r>
        <w:rPr>
          <w:rFonts w:hint="eastAsia" w:asciiTheme="minorEastAsia" w:hAnsiTheme="minorEastAsia" w:eastAsiaTheme="minorEastAsia" w:cstheme="minorEastAsia"/>
          <w:b/>
          <w:bCs/>
          <w:color w:val="auto"/>
          <w:sz w:val="21"/>
          <w:szCs w:val="21"/>
          <w:highlight w:val="yellow"/>
        </w:rPr>
        <w:t>全部到货并安装结束且经采购人验收合格后，供应商根据实际供货数量提交支付申请及相应等额的发票，采购人于收到发票15个工作日内付至实际供货价的</w:t>
      </w:r>
      <w:r>
        <w:rPr>
          <w:rFonts w:hint="eastAsia" w:asciiTheme="minorEastAsia" w:hAnsiTheme="minorEastAsia" w:eastAsiaTheme="minorEastAsia" w:cstheme="minorEastAsia"/>
          <w:b/>
          <w:bCs/>
          <w:color w:val="auto"/>
          <w:sz w:val="21"/>
          <w:szCs w:val="21"/>
          <w:highlight w:val="yellow"/>
          <w:lang w:val="en-US" w:eastAsia="zh-CN"/>
        </w:rPr>
        <w:t>90</w:t>
      </w:r>
      <w:r>
        <w:rPr>
          <w:rFonts w:hint="eastAsia" w:asciiTheme="minorEastAsia" w:hAnsiTheme="minorEastAsia" w:eastAsiaTheme="minorEastAsia" w:cstheme="minorEastAsia"/>
          <w:b/>
          <w:bCs/>
          <w:color w:val="auto"/>
          <w:sz w:val="21"/>
          <w:szCs w:val="21"/>
          <w:highlight w:val="yellow"/>
        </w:rPr>
        <w:t>%；</w:t>
      </w:r>
      <w:r>
        <w:rPr>
          <w:rFonts w:hint="eastAsia" w:asciiTheme="minorEastAsia" w:hAnsiTheme="minorEastAsia" w:eastAsiaTheme="minorEastAsia" w:cstheme="minorEastAsia"/>
          <w:b/>
          <w:bCs/>
          <w:color w:val="auto"/>
          <w:sz w:val="21"/>
          <w:szCs w:val="21"/>
          <w:highlight w:val="yellow"/>
        </w:rPr>
        <w:cr/>
      </w:r>
      <w:r>
        <w:rPr>
          <w:rFonts w:hint="eastAsia" w:asciiTheme="minorEastAsia" w:hAnsiTheme="minorEastAsia" w:eastAsiaTheme="minorEastAsia" w:cstheme="minorEastAsia"/>
          <w:b/>
          <w:bCs/>
          <w:color w:val="auto"/>
          <w:sz w:val="21"/>
          <w:szCs w:val="21"/>
          <w:highlight w:val="yellow"/>
          <w:lang w:val="en-US" w:eastAsia="zh-CN"/>
        </w:rPr>
        <w:t xml:space="preserve">   2、</w:t>
      </w:r>
      <w:r>
        <w:rPr>
          <w:rFonts w:hint="eastAsia" w:asciiTheme="minorEastAsia" w:hAnsiTheme="minorEastAsia" w:eastAsiaTheme="minorEastAsia" w:cstheme="minorEastAsia"/>
          <w:b/>
          <w:bCs/>
          <w:color w:val="auto"/>
          <w:sz w:val="21"/>
          <w:szCs w:val="21"/>
          <w:highlight w:val="yellow"/>
        </w:rPr>
        <w:t>质保期满后结清余款（无息）</w:t>
      </w:r>
      <w:r>
        <w:rPr>
          <w:rFonts w:hint="eastAsia" w:asciiTheme="minorEastAsia" w:hAnsiTheme="minorEastAsia" w:eastAsiaTheme="minorEastAsia" w:cstheme="minorEastAsia"/>
          <w:color w:val="auto"/>
          <w:sz w:val="21"/>
          <w:szCs w:val="21"/>
          <w:highlight w:val="yellow"/>
        </w:rPr>
        <w:t>。</w:t>
      </w:r>
    </w:p>
    <w:p w14:paraId="588BBD01">
      <w:pPr>
        <w:adjustRightInd w:val="0"/>
        <w:snapToGrid w:val="0"/>
        <w:spacing w:line="440" w:lineRule="exact"/>
        <w:ind w:firstLine="426" w:firstLineChars="202"/>
        <w:rPr>
          <w:rFonts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第七条 违约责任</w:t>
      </w:r>
    </w:p>
    <w:p w14:paraId="337BA05F">
      <w:pPr>
        <w:spacing w:line="440" w:lineRule="exact"/>
        <w:ind w:firstLine="420" w:firstLineChars="200"/>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1.如乙方不能按约定进行服务的，甲方有权解除合同，同时有权要求乙方按照合同总价5%的标准支付违约金，解除合同的通知自发出之日生效。</w:t>
      </w:r>
    </w:p>
    <w:p w14:paraId="4AA853E6">
      <w:pPr>
        <w:spacing w:line="440" w:lineRule="exact"/>
        <w:ind w:firstLine="420" w:firstLineChars="200"/>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highlight w:val="none"/>
        </w:rPr>
        <w:t>.乙方未按本合同的规定和“服务承诺”提供伴随服务的，甲方有权提前解除本合同，同时乙方应按合同总价款的</w:t>
      </w:r>
      <w:r>
        <w:rPr>
          <w:rFonts w:hint="eastAsia" w:asciiTheme="minorEastAsia" w:hAnsiTheme="minorEastAsia" w:eastAsiaTheme="minorEastAsia" w:cstheme="minorEastAsia"/>
          <w:b/>
          <w:bCs/>
          <w:color w:val="auto"/>
          <w:sz w:val="21"/>
          <w:szCs w:val="21"/>
          <w:highlight w:val="none"/>
        </w:rPr>
        <w:t xml:space="preserve">5% </w:t>
      </w:r>
      <w:r>
        <w:rPr>
          <w:rFonts w:hint="eastAsia" w:asciiTheme="minorEastAsia" w:hAnsiTheme="minorEastAsia" w:eastAsiaTheme="minorEastAsia" w:cstheme="minorEastAsia"/>
          <w:color w:val="auto"/>
          <w:sz w:val="21"/>
          <w:szCs w:val="21"/>
          <w:highlight w:val="none"/>
        </w:rPr>
        <w:t>向甲方承担违约责任。</w:t>
      </w:r>
    </w:p>
    <w:p w14:paraId="72CCB205">
      <w:pPr>
        <w:spacing w:line="440" w:lineRule="exact"/>
        <w:ind w:firstLine="420" w:firstLineChars="200"/>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highlight w:val="none"/>
        </w:rPr>
        <w:t>.乙方在承担上述一项或多项违约责任后，仍应继续履行合同规定的义务（甲方解除合同的除外）。甲方未能及时追究乙方的任何一项违约责任并不表明甲方放弃追究乙方该项或其他违约责任。</w:t>
      </w:r>
    </w:p>
    <w:p w14:paraId="34FB8E11">
      <w:pPr>
        <w:spacing w:line="440" w:lineRule="exact"/>
        <w:ind w:firstLine="420" w:firstLineChars="200"/>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4</w:t>
      </w:r>
      <w:r>
        <w:rPr>
          <w:rFonts w:hint="eastAsia" w:asciiTheme="minorEastAsia" w:hAnsiTheme="minorEastAsia" w:eastAsiaTheme="minorEastAsia" w:cstheme="minorEastAsia"/>
          <w:color w:val="auto"/>
          <w:sz w:val="21"/>
          <w:szCs w:val="21"/>
          <w:highlight w:val="none"/>
        </w:rPr>
        <w:t>.乙方属虚假承诺，或是由于乙方的过错造成合同无法继续履行的，还应向甲方支付不少于合同总价30%违约金，若该违约金不足以弥补甲方损失，则应当赔偿甲方所有损失。</w:t>
      </w:r>
    </w:p>
    <w:p w14:paraId="38A6058B">
      <w:pPr>
        <w:spacing w:line="440" w:lineRule="exact"/>
        <w:ind w:firstLine="420" w:firstLineChars="200"/>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5</w:t>
      </w:r>
      <w:r>
        <w:rPr>
          <w:rFonts w:hint="eastAsia" w:asciiTheme="minorEastAsia" w:hAnsiTheme="minorEastAsia" w:eastAsiaTheme="minorEastAsia" w:cstheme="minorEastAsia"/>
          <w:color w:val="auto"/>
          <w:sz w:val="21"/>
          <w:szCs w:val="21"/>
          <w:highlight w:val="none"/>
        </w:rPr>
        <w:t>.其他未尽事宜，以《民法典》等有关法律法规规定为准，无相关规定的，双方协商解决。</w:t>
      </w:r>
    </w:p>
    <w:p w14:paraId="45C8EFC4">
      <w:pPr>
        <w:adjustRightInd w:val="0"/>
        <w:snapToGrid w:val="0"/>
        <w:spacing w:line="440" w:lineRule="exact"/>
        <w:ind w:firstLine="426" w:firstLineChars="202"/>
        <w:rPr>
          <w:rFonts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第八条 合同的变更和终止</w:t>
      </w:r>
    </w:p>
    <w:p w14:paraId="0F68B5CE">
      <w:pPr>
        <w:adjustRightInd w:val="0"/>
        <w:snapToGrid w:val="0"/>
        <w:spacing w:line="440" w:lineRule="exact"/>
        <w:ind w:firstLine="424" w:firstLineChars="202"/>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1.本合同一经签订，甲乙双方不得擅自变更、中止或终止合同。</w:t>
      </w:r>
    </w:p>
    <w:p w14:paraId="3903C800">
      <w:pPr>
        <w:adjustRightInd w:val="0"/>
        <w:snapToGrid w:val="0"/>
        <w:spacing w:line="440" w:lineRule="exact"/>
        <w:ind w:firstLine="424" w:firstLineChars="202"/>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2.除发生法律规定的不能预见、不能避免并不能克服的客观情况外，甲乙双方不得放弃或拒绝履行合同。乙方放弃或拒绝履行合同，承担相关违约责任。</w:t>
      </w:r>
    </w:p>
    <w:p w14:paraId="3BF66B5E">
      <w:pPr>
        <w:adjustRightInd w:val="0"/>
        <w:snapToGrid w:val="0"/>
        <w:spacing w:line="440" w:lineRule="exact"/>
        <w:ind w:firstLine="424" w:firstLineChars="202"/>
        <w:rPr>
          <w:rFonts w:eastAsiaTheme="minorEastAsia"/>
          <w:color w:val="auto"/>
          <w:highlight w:val="none"/>
        </w:rPr>
      </w:pPr>
      <w:r>
        <w:rPr>
          <w:rFonts w:hint="eastAsia" w:asciiTheme="minorEastAsia" w:hAnsiTheme="minorEastAsia" w:eastAsiaTheme="minorEastAsia" w:cstheme="minorEastAsia"/>
          <w:color w:val="auto"/>
          <w:sz w:val="21"/>
          <w:szCs w:val="21"/>
          <w:highlight w:val="none"/>
        </w:rPr>
        <w:t>3.本项目如遇上级主管部门统一招标，甲方有权终止合同，乙方需无条件服从，甲方按已发生的工作量及考核结果结算，按结算价一次性付清（乙方收款时应提供符合规定的发票）。</w:t>
      </w:r>
    </w:p>
    <w:p w14:paraId="1A1EAA25">
      <w:pPr>
        <w:adjustRightInd w:val="0"/>
        <w:snapToGrid w:val="0"/>
        <w:spacing w:line="440" w:lineRule="exact"/>
        <w:ind w:firstLine="426" w:firstLineChars="202"/>
        <w:rPr>
          <w:rFonts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第九条 合同的转让</w:t>
      </w:r>
    </w:p>
    <w:p w14:paraId="4A4C58AC">
      <w:pPr>
        <w:adjustRightInd w:val="0"/>
        <w:snapToGrid w:val="0"/>
        <w:spacing w:line="440" w:lineRule="exact"/>
        <w:ind w:firstLine="424" w:firstLineChars="202"/>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乙方不得擅自部分或全部转让其应履行的合同义务。</w:t>
      </w:r>
    </w:p>
    <w:p w14:paraId="772FF3B2">
      <w:pPr>
        <w:adjustRightInd w:val="0"/>
        <w:snapToGrid w:val="0"/>
        <w:spacing w:line="440" w:lineRule="exact"/>
        <w:ind w:firstLine="426" w:firstLineChars="202"/>
        <w:rPr>
          <w:rFonts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第十条 不可抗力</w:t>
      </w:r>
    </w:p>
    <w:p w14:paraId="17D9A297">
      <w:pPr>
        <w:adjustRightInd w:val="0"/>
        <w:snapToGrid w:val="0"/>
        <w:spacing w:line="440" w:lineRule="exact"/>
        <w:ind w:firstLine="424" w:firstLineChars="202"/>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甲、乙方中任何一方，因不可抗力不能按时或完全履行合同的，应及时通知对方，并在</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5日内提供相应证明。未履行完合同部分是否继续履行、如何履行等问题，可由双方初步协商，并向主管部门报告。确定为不可抗力原因造成的损失，免予承担责任。</w:t>
      </w:r>
    </w:p>
    <w:p w14:paraId="02747DB4">
      <w:pPr>
        <w:adjustRightInd w:val="0"/>
        <w:snapToGrid w:val="0"/>
        <w:spacing w:line="440" w:lineRule="exact"/>
        <w:ind w:firstLine="426" w:firstLineChars="202"/>
        <w:rPr>
          <w:rFonts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第十一条 争议的解决</w:t>
      </w:r>
    </w:p>
    <w:p w14:paraId="465D334C">
      <w:pPr>
        <w:adjustRightInd w:val="0"/>
        <w:snapToGrid w:val="0"/>
        <w:spacing w:line="440" w:lineRule="exact"/>
        <w:ind w:firstLine="424" w:firstLineChars="202"/>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1.因履行本合同引起的或与本合同有关的争议，甲、乙双方应首先通过友好协商解决，如果协商不能解决争议，则采取以下第（2）种方式解决争议：</w:t>
      </w:r>
    </w:p>
    <w:p w14:paraId="2B96B86D">
      <w:pPr>
        <w:adjustRightInd w:val="0"/>
        <w:snapToGrid w:val="0"/>
        <w:spacing w:line="440" w:lineRule="exact"/>
        <w:ind w:firstLine="424" w:firstLineChars="202"/>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（1）向甲方所在地仲裁委员会按其仲裁规则申请仲裁；</w:t>
      </w:r>
    </w:p>
    <w:p w14:paraId="12596350">
      <w:pPr>
        <w:adjustRightInd w:val="0"/>
        <w:snapToGrid w:val="0"/>
        <w:spacing w:line="440" w:lineRule="exact"/>
        <w:ind w:firstLine="424" w:firstLineChars="202"/>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（2）向甲方所在地人民法院提起诉讼。</w:t>
      </w:r>
    </w:p>
    <w:p w14:paraId="098BF5B1">
      <w:pPr>
        <w:adjustRightInd w:val="0"/>
        <w:snapToGrid w:val="0"/>
        <w:spacing w:line="440" w:lineRule="exact"/>
        <w:ind w:firstLine="424" w:firstLineChars="202"/>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2.在法院审理和仲裁期间，除有争议部分外，本合同其他部分应继续履行。</w:t>
      </w:r>
    </w:p>
    <w:p w14:paraId="5043A04F">
      <w:pPr>
        <w:adjustRightInd w:val="0"/>
        <w:snapToGrid w:val="0"/>
        <w:spacing w:line="440" w:lineRule="exact"/>
        <w:ind w:firstLine="426" w:firstLineChars="202"/>
        <w:rPr>
          <w:rFonts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 xml:space="preserve">第十二条 诚实信用 </w:t>
      </w:r>
    </w:p>
    <w:p w14:paraId="39B3039B">
      <w:pPr>
        <w:adjustRightInd w:val="0"/>
        <w:snapToGrid w:val="0"/>
        <w:spacing w:line="440" w:lineRule="exact"/>
        <w:ind w:firstLine="424" w:firstLineChars="202"/>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乙方应诚实信用，严格按照竞争性谈判文件要求和谈判承诺履行合同，不向甲方进行商业贿赂或者提供不正当利益。</w:t>
      </w:r>
    </w:p>
    <w:p w14:paraId="6B10FC38">
      <w:pPr>
        <w:adjustRightInd w:val="0"/>
        <w:snapToGrid w:val="0"/>
        <w:spacing w:line="440" w:lineRule="exact"/>
        <w:ind w:firstLine="426" w:firstLineChars="202"/>
        <w:rPr>
          <w:rFonts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第十三条 合同生效及其他</w:t>
      </w:r>
    </w:p>
    <w:p w14:paraId="125E8E27">
      <w:pPr>
        <w:adjustRightInd w:val="0"/>
        <w:snapToGrid w:val="0"/>
        <w:spacing w:line="440" w:lineRule="exact"/>
        <w:ind w:firstLine="424" w:firstLineChars="202"/>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1.本合同自经甲乙双方授权代表签订并加盖公章后，自签订之日起生效。</w:t>
      </w:r>
    </w:p>
    <w:p w14:paraId="216449CE">
      <w:pPr>
        <w:adjustRightInd w:val="0"/>
        <w:snapToGrid w:val="0"/>
        <w:spacing w:line="440" w:lineRule="exact"/>
        <w:ind w:firstLine="424" w:firstLineChars="202"/>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2.本合同一式陆份，甲方执贰份，乙方执贰份，代理机构执贰份存档。</w:t>
      </w:r>
    </w:p>
    <w:p w14:paraId="5CDA8815">
      <w:pPr>
        <w:spacing w:line="440" w:lineRule="exact"/>
        <w:ind w:firstLine="424" w:firstLineChars="202"/>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3.本合同应按照中华人民共和国的现行法律进行解释。</w:t>
      </w:r>
    </w:p>
    <w:p w14:paraId="721D0175">
      <w:pPr>
        <w:spacing w:line="360" w:lineRule="auto"/>
        <w:jc w:val="left"/>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bCs/>
          <w:color w:val="auto"/>
          <w:sz w:val="21"/>
          <w:szCs w:val="21"/>
          <w:highlight w:val="none"/>
        </w:rPr>
        <w:t>甲    方</w:t>
      </w:r>
      <w:r>
        <w:rPr>
          <w:rFonts w:hint="eastAsia" w:asciiTheme="minorEastAsia" w:hAnsiTheme="minorEastAsia" w:eastAsiaTheme="minorEastAsia" w:cstheme="minorEastAsia"/>
          <w:color w:val="auto"/>
          <w:sz w:val="21"/>
          <w:szCs w:val="21"/>
          <w:highlight w:val="none"/>
        </w:rPr>
        <w:t xml:space="preserve">：                               </w:t>
      </w:r>
      <w:r>
        <w:rPr>
          <w:rFonts w:hint="eastAsia" w:asciiTheme="minorEastAsia" w:hAnsiTheme="minorEastAsia" w:eastAsiaTheme="minorEastAsia" w:cstheme="minorEastAsia"/>
          <w:b/>
          <w:bCs/>
          <w:color w:val="auto"/>
          <w:sz w:val="21"/>
          <w:szCs w:val="21"/>
          <w:highlight w:val="none"/>
        </w:rPr>
        <w:t>乙    方</w:t>
      </w:r>
      <w:r>
        <w:rPr>
          <w:rFonts w:hint="eastAsia" w:asciiTheme="minorEastAsia" w:hAnsiTheme="minorEastAsia" w:eastAsiaTheme="minorEastAsia" w:cstheme="minorEastAsia"/>
          <w:color w:val="auto"/>
          <w:sz w:val="21"/>
          <w:szCs w:val="21"/>
          <w:highlight w:val="none"/>
        </w:rPr>
        <w:t>：</w:t>
      </w:r>
    </w:p>
    <w:p w14:paraId="77984E9B">
      <w:pPr>
        <w:spacing w:line="360" w:lineRule="auto"/>
        <w:rPr>
          <w:rFonts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单位名称（章）：                         单位名称（章）：</w:t>
      </w:r>
    </w:p>
    <w:p w14:paraId="5F0E5271">
      <w:pPr>
        <w:spacing w:line="360" w:lineRule="auto"/>
        <w:rPr>
          <w:rFonts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rPr>
        <w:t>单位地址：                               单位地址：</w:t>
      </w:r>
    </w:p>
    <w:p w14:paraId="3E82D657">
      <w:pPr>
        <w:spacing w:line="360" w:lineRule="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法定代表人或委托代理人：                 法定代表人或委托代理人：      </w:t>
      </w:r>
    </w:p>
    <w:p w14:paraId="475530E8">
      <w:pPr>
        <w:spacing w:line="360" w:lineRule="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电话：                                   电话：</w:t>
      </w:r>
    </w:p>
    <w:p w14:paraId="714EDB22">
      <w:pPr>
        <w:spacing w:line="360" w:lineRule="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开户银行：                               开户银行：        </w:t>
      </w:r>
    </w:p>
    <w:p w14:paraId="2BB7C6A6">
      <w:pPr>
        <w:spacing w:line="360" w:lineRule="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账号：                                   账号：  </w:t>
      </w:r>
    </w:p>
    <w:p w14:paraId="62BAE629">
      <w:pPr>
        <w:spacing w:line="360" w:lineRule="auto"/>
        <w:rPr>
          <w:rFonts w:ascii="宋体" w:hAnsi="宋体" w:cs="宋体"/>
          <w:color w:val="auto"/>
          <w:sz w:val="24"/>
          <w:highlight w:val="none"/>
        </w:rPr>
      </w:pPr>
      <w:r>
        <w:rPr>
          <w:rFonts w:hint="eastAsia" w:asciiTheme="minorEastAsia" w:hAnsiTheme="minorEastAsia" w:eastAsiaTheme="minorEastAsia" w:cstheme="minorEastAsia"/>
          <w:color w:val="auto"/>
          <w:sz w:val="21"/>
          <w:szCs w:val="21"/>
          <w:highlight w:val="none"/>
        </w:rPr>
        <w:t>签订时间：      年    月   日            签订时间：      年    月   日</w:t>
      </w:r>
      <w:r>
        <w:rPr>
          <w:rFonts w:hint="eastAsia" w:ascii="宋体" w:hAnsi="宋体" w:cs="宋体"/>
          <w:color w:val="auto"/>
          <w:sz w:val="24"/>
          <w:highlight w:val="none"/>
        </w:rPr>
        <w:t xml:space="preserve">  </w:t>
      </w:r>
    </w:p>
    <w:p w14:paraId="24B93615">
      <w:pPr>
        <w:rPr>
          <w:rFonts w:ascii="宋体" w:hAnsi="宋体" w:cs="宋体"/>
          <w:b/>
          <w:bCs/>
          <w:color w:val="auto"/>
          <w:sz w:val="24"/>
          <w:szCs w:val="24"/>
          <w:highlight w:val="none"/>
        </w:rPr>
      </w:pPr>
      <w:r>
        <w:rPr>
          <w:rFonts w:ascii="宋体" w:hAnsi="宋体" w:cs="宋体"/>
          <w:b/>
          <w:bCs/>
          <w:color w:val="auto"/>
          <w:sz w:val="24"/>
          <w:szCs w:val="24"/>
          <w:highlight w:val="none"/>
        </w:rPr>
        <w:br w:type="page"/>
      </w:r>
    </w:p>
    <w:p w14:paraId="4D9AC905">
      <w:pPr>
        <w:spacing w:line="400" w:lineRule="exact"/>
        <w:jc w:val="center"/>
        <w:outlineLvl w:val="0"/>
        <w:rPr>
          <w:rFonts w:ascii="宋体" w:hAnsi="宋体" w:cs="宋体"/>
          <w:b/>
          <w:bCs/>
          <w:color w:val="auto"/>
          <w:sz w:val="24"/>
          <w:szCs w:val="24"/>
          <w:highlight w:val="none"/>
        </w:rPr>
      </w:pPr>
      <w:r>
        <w:rPr>
          <w:rFonts w:hint="eastAsia" w:ascii="宋体" w:hAnsi="宋体" w:cs="宋体"/>
          <w:b/>
          <w:bCs/>
          <w:color w:val="auto"/>
          <w:sz w:val="24"/>
          <w:szCs w:val="24"/>
          <w:highlight w:val="none"/>
        </w:rPr>
        <w:t>第六部分</w:t>
      </w:r>
      <w:r>
        <w:rPr>
          <w:rFonts w:ascii="宋体" w:hAnsi="宋体" w:cs="宋体"/>
          <w:b/>
          <w:bCs/>
          <w:color w:val="auto"/>
          <w:sz w:val="24"/>
          <w:szCs w:val="24"/>
          <w:highlight w:val="none"/>
        </w:rPr>
        <w:t xml:space="preserve">  </w:t>
      </w:r>
      <w:r>
        <w:rPr>
          <w:rFonts w:hint="eastAsia" w:ascii="宋体" w:hAnsi="宋体" w:cs="宋体"/>
          <w:b/>
          <w:bCs/>
          <w:color w:val="auto"/>
          <w:sz w:val="24"/>
          <w:szCs w:val="24"/>
          <w:highlight w:val="none"/>
        </w:rPr>
        <w:t>响应文件格式</w:t>
      </w:r>
    </w:p>
    <w:p w14:paraId="1463C03D">
      <w:pPr>
        <w:rPr>
          <w:b/>
          <w:color w:val="auto"/>
          <w:sz w:val="44"/>
          <w:szCs w:val="44"/>
          <w:highlight w:val="none"/>
        </w:rPr>
      </w:pPr>
    </w:p>
    <w:p w14:paraId="2C7E30F6">
      <w:pPr>
        <w:rPr>
          <w:b/>
          <w:color w:val="auto"/>
          <w:sz w:val="44"/>
          <w:szCs w:val="44"/>
          <w:highlight w:val="none"/>
        </w:rPr>
      </w:pPr>
      <w:r>
        <w:rPr>
          <w:rFonts w:hint="eastAsia"/>
          <w:b/>
          <w:color w:val="auto"/>
          <w:sz w:val="44"/>
          <w:szCs w:val="44"/>
          <w:highlight w:val="none"/>
        </w:rPr>
        <w:t>封面：</w:t>
      </w:r>
    </w:p>
    <w:p w14:paraId="6053F05A">
      <w:pPr>
        <w:rPr>
          <w:b/>
          <w:color w:val="auto"/>
          <w:sz w:val="72"/>
          <w:szCs w:val="72"/>
          <w:highlight w:val="none"/>
        </w:rPr>
      </w:pPr>
      <w:r>
        <w:rPr>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4533900</wp:posOffset>
                </wp:positionH>
                <wp:positionV relativeFrom="paragraph">
                  <wp:posOffset>193675</wp:posOffset>
                </wp:positionV>
                <wp:extent cx="1200150" cy="38735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200150" cy="387350"/>
                        </a:xfrm>
                        <a:prstGeom prst="rect">
                          <a:avLst/>
                        </a:prstGeom>
                        <a:solidFill>
                          <a:srgbClr val="C0C0C0"/>
                        </a:solidFill>
                        <a:ln>
                          <a:noFill/>
                        </a:ln>
                        <a:effectLst/>
                      </wps:spPr>
                      <wps:txbx>
                        <w:txbxContent>
                          <w:p w14:paraId="581B7B4A">
                            <w:pPr>
                              <w:spacing w:line="360" w:lineRule="auto"/>
                              <w:jc w:val="center"/>
                              <w:rPr>
                                <w:szCs w:val="28"/>
                              </w:rPr>
                            </w:pPr>
                            <w:r>
                              <w:rPr>
                                <w:rFonts w:hint="eastAsia"/>
                                <w:szCs w:val="28"/>
                              </w:rPr>
                              <w:t>正本或副本</w:t>
                            </w:r>
                          </w:p>
                        </w:txbxContent>
                      </wps:txbx>
                      <wps:bodyPr lIns="91440" tIns="0" rIns="91440" bIns="0" upright="1"/>
                    </wps:wsp>
                  </a:graphicData>
                </a:graphic>
              </wp:anchor>
            </w:drawing>
          </mc:Choice>
          <mc:Fallback>
            <w:pict>
              <v:shape id="_x0000_s1026" o:spid="_x0000_s1026" o:spt="202" type="#_x0000_t202" style="position:absolute;left:0pt;margin-left:357pt;margin-top:15.25pt;height:30.5pt;width:94.5pt;z-index:251659264;mso-width-relative:page;mso-height-relative:page;" fillcolor="#C0C0C0" filled="t" stroked="f" coordsize="21600,21600" o:gfxdata="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nx5vt2AAAAAkBAAAPAAAAAAAAAAEA&#10;IAAAACIAAABkcnMvZG93bnJldi54bWxQSwECFAAUAAAACACHTuJAmGzhQtYBAACxAwAADgAAAAAA&#10;AAABACAAAAAnAQAAZHJzL2Uyb0RvYy54bWxQSwUGAAAAAAYABgBZAQAAbwUAAAAA&#10;">
                <v:fill on="t" focussize="0,0"/>
                <v:stroke on="f"/>
                <v:imagedata o:title=""/>
                <o:lock v:ext="edit" aspectratio="f"/>
                <v:textbox inset="2.54mm,0mm,2.54mm,0mm">
                  <w:txbxContent>
                    <w:p w14:paraId="581B7B4A">
                      <w:pPr>
                        <w:spacing w:line="360" w:lineRule="auto"/>
                        <w:jc w:val="center"/>
                        <w:rPr>
                          <w:szCs w:val="28"/>
                        </w:rPr>
                      </w:pPr>
                      <w:r>
                        <w:rPr>
                          <w:rFonts w:hint="eastAsia"/>
                          <w:szCs w:val="28"/>
                        </w:rPr>
                        <w:t>正本或副本</w:t>
                      </w:r>
                    </w:p>
                  </w:txbxContent>
                </v:textbox>
              </v:shape>
            </w:pict>
          </mc:Fallback>
        </mc:AlternateContent>
      </w:r>
    </w:p>
    <w:p w14:paraId="1DA932BD">
      <w:pPr>
        <w:tabs>
          <w:tab w:val="left" w:pos="720"/>
        </w:tabs>
        <w:rPr>
          <w:color w:val="auto"/>
          <w:highlight w:val="none"/>
        </w:rPr>
      </w:pPr>
    </w:p>
    <w:p w14:paraId="6593A670">
      <w:pPr>
        <w:jc w:val="center"/>
        <w:rPr>
          <w:b/>
          <w:color w:val="auto"/>
          <w:sz w:val="72"/>
          <w:szCs w:val="72"/>
          <w:highlight w:val="none"/>
        </w:rPr>
      </w:pPr>
    </w:p>
    <w:p w14:paraId="5AC29082">
      <w:pPr>
        <w:jc w:val="center"/>
        <w:rPr>
          <w:b/>
          <w:color w:val="auto"/>
          <w:sz w:val="84"/>
          <w:szCs w:val="84"/>
          <w:highlight w:val="none"/>
        </w:rPr>
      </w:pPr>
      <w:r>
        <w:rPr>
          <w:rFonts w:hint="eastAsia"/>
          <w:b/>
          <w:color w:val="auto"/>
          <w:sz w:val="84"/>
          <w:szCs w:val="84"/>
          <w:highlight w:val="none"/>
        </w:rPr>
        <w:t>响应文件</w:t>
      </w:r>
    </w:p>
    <w:p w14:paraId="20AD3F2B">
      <w:pPr>
        <w:rPr>
          <w:b/>
          <w:color w:val="auto"/>
          <w:sz w:val="36"/>
          <w:szCs w:val="36"/>
          <w:highlight w:val="none"/>
        </w:rPr>
      </w:pPr>
    </w:p>
    <w:p w14:paraId="71EFB62D">
      <w:pPr>
        <w:rPr>
          <w:color w:val="auto"/>
          <w:highlight w:val="none"/>
        </w:rPr>
      </w:pPr>
    </w:p>
    <w:p w14:paraId="3BCA047C">
      <w:pPr>
        <w:snapToGrid w:val="0"/>
        <w:spacing w:line="1100" w:lineRule="exact"/>
        <w:jc w:val="left"/>
        <w:rPr>
          <w:rFonts w:ascii="宋体" w:hAnsi="宋体" w:cs="宋体"/>
          <w:b/>
          <w:bCs/>
          <w:color w:val="auto"/>
          <w:spacing w:val="2"/>
          <w:szCs w:val="28"/>
          <w:highlight w:val="none"/>
          <w:lang w:val="zh-CN"/>
        </w:rPr>
      </w:pPr>
      <w:r>
        <w:rPr>
          <w:rFonts w:hint="eastAsia" w:ascii="宋体" w:hAnsi="宋体" w:cs="宋体"/>
          <w:b/>
          <w:bCs/>
          <w:color w:val="auto"/>
          <w:spacing w:val="2"/>
          <w:szCs w:val="28"/>
          <w:highlight w:val="none"/>
          <w:lang w:val="zh-CN"/>
        </w:rPr>
        <w:t>项目名称：</w:t>
      </w:r>
    </w:p>
    <w:p w14:paraId="1311D653">
      <w:pPr>
        <w:snapToGrid w:val="0"/>
        <w:spacing w:line="1100" w:lineRule="exact"/>
        <w:jc w:val="left"/>
        <w:rPr>
          <w:rFonts w:ascii="宋体" w:hAnsi="宋体" w:cs="宋体"/>
          <w:b/>
          <w:bCs/>
          <w:color w:val="auto"/>
          <w:spacing w:val="2"/>
          <w:szCs w:val="28"/>
          <w:highlight w:val="none"/>
          <w:lang w:val="zh-CN"/>
        </w:rPr>
      </w:pPr>
      <w:r>
        <w:rPr>
          <w:rFonts w:hint="eastAsia" w:ascii="宋体" w:hAnsi="宋体" w:cs="宋体"/>
          <w:b/>
          <w:bCs/>
          <w:color w:val="auto"/>
          <w:spacing w:val="2"/>
          <w:szCs w:val="28"/>
          <w:highlight w:val="none"/>
          <w:lang w:val="zh-CN"/>
        </w:rPr>
        <w:t>采购人名称：</w:t>
      </w:r>
    </w:p>
    <w:p w14:paraId="609454FA">
      <w:pPr>
        <w:snapToGrid w:val="0"/>
        <w:spacing w:line="1100" w:lineRule="exact"/>
        <w:jc w:val="left"/>
        <w:rPr>
          <w:rFonts w:ascii="宋体" w:hAnsi="宋体" w:cs="宋体"/>
          <w:b/>
          <w:bCs/>
          <w:color w:val="auto"/>
          <w:spacing w:val="2"/>
          <w:szCs w:val="28"/>
          <w:highlight w:val="none"/>
          <w:lang w:val="zh-CN"/>
        </w:rPr>
      </w:pPr>
      <w:r>
        <w:rPr>
          <w:rFonts w:hint="eastAsia" w:ascii="宋体" w:hAnsi="宋体" w:cs="宋体"/>
          <w:b/>
          <w:bCs/>
          <w:color w:val="auto"/>
          <w:spacing w:val="2"/>
          <w:szCs w:val="28"/>
          <w:highlight w:val="none"/>
        </w:rPr>
        <w:t>供应商</w:t>
      </w:r>
      <w:r>
        <w:rPr>
          <w:rFonts w:hint="eastAsia" w:ascii="宋体" w:hAnsi="宋体" w:cs="宋体"/>
          <w:b/>
          <w:bCs/>
          <w:color w:val="auto"/>
          <w:spacing w:val="2"/>
          <w:szCs w:val="28"/>
          <w:highlight w:val="none"/>
          <w:lang w:val="zh-CN"/>
        </w:rPr>
        <w:t>名称：</w:t>
      </w:r>
    </w:p>
    <w:p w14:paraId="38FCD008">
      <w:pPr>
        <w:spacing w:line="1100" w:lineRule="exact"/>
        <w:jc w:val="center"/>
        <w:rPr>
          <w:rFonts w:ascii="宋体" w:hAnsi="宋体" w:cs="宋体"/>
          <w:b/>
          <w:bCs/>
          <w:color w:val="auto"/>
          <w:spacing w:val="2"/>
          <w:szCs w:val="28"/>
          <w:highlight w:val="none"/>
          <w:lang w:val="zh-CN"/>
        </w:rPr>
      </w:pPr>
      <w:r>
        <w:rPr>
          <w:rFonts w:hint="eastAsia" w:ascii="宋体" w:hAnsi="宋体" w:cs="宋体"/>
          <w:b/>
          <w:bCs/>
          <w:color w:val="auto"/>
          <w:spacing w:val="2"/>
          <w:szCs w:val="28"/>
          <w:highlight w:val="none"/>
          <w:lang w:val="zh-CN"/>
        </w:rPr>
        <w:t xml:space="preserve">在 </w:t>
      </w:r>
      <w:r>
        <w:rPr>
          <w:rFonts w:ascii="宋体" w:hAnsi="宋体" w:cs="宋体"/>
          <w:b/>
          <w:bCs/>
          <w:color w:val="auto"/>
          <w:spacing w:val="2"/>
          <w:szCs w:val="28"/>
          <w:highlight w:val="none"/>
          <w:lang w:val="zh-CN"/>
        </w:rPr>
        <w:t xml:space="preserve">  </w:t>
      </w:r>
      <w:r>
        <w:rPr>
          <w:rFonts w:hint="eastAsia" w:ascii="宋体" w:hAnsi="宋体" w:cs="宋体"/>
          <w:b/>
          <w:bCs/>
          <w:color w:val="auto"/>
          <w:spacing w:val="2"/>
          <w:szCs w:val="28"/>
          <w:highlight w:val="none"/>
          <w:lang w:val="zh-CN"/>
        </w:rPr>
        <w:t xml:space="preserve">年 </w:t>
      </w:r>
      <w:r>
        <w:rPr>
          <w:rFonts w:ascii="宋体" w:hAnsi="宋体" w:cs="宋体"/>
          <w:b/>
          <w:bCs/>
          <w:color w:val="auto"/>
          <w:spacing w:val="2"/>
          <w:szCs w:val="28"/>
          <w:highlight w:val="none"/>
          <w:lang w:val="zh-CN"/>
        </w:rPr>
        <w:t xml:space="preserve">  </w:t>
      </w:r>
      <w:r>
        <w:rPr>
          <w:rFonts w:hint="eastAsia" w:ascii="宋体" w:hAnsi="宋体" w:cs="宋体"/>
          <w:b/>
          <w:bCs/>
          <w:color w:val="auto"/>
          <w:spacing w:val="2"/>
          <w:szCs w:val="28"/>
          <w:highlight w:val="none"/>
          <w:lang w:val="zh-CN"/>
        </w:rPr>
        <w:t xml:space="preserve">月 </w:t>
      </w:r>
      <w:r>
        <w:rPr>
          <w:rFonts w:ascii="宋体" w:hAnsi="宋体" w:cs="宋体"/>
          <w:b/>
          <w:bCs/>
          <w:color w:val="auto"/>
          <w:spacing w:val="2"/>
          <w:szCs w:val="28"/>
          <w:highlight w:val="none"/>
          <w:lang w:val="zh-CN"/>
        </w:rPr>
        <w:t xml:space="preserve"> </w:t>
      </w:r>
      <w:r>
        <w:rPr>
          <w:rFonts w:hint="eastAsia" w:ascii="宋体" w:hAnsi="宋体" w:cs="宋体"/>
          <w:b/>
          <w:bCs/>
          <w:color w:val="auto"/>
          <w:spacing w:val="2"/>
          <w:szCs w:val="28"/>
          <w:highlight w:val="none"/>
          <w:lang w:val="zh-CN"/>
        </w:rPr>
        <w:t>日前不得开启</w:t>
      </w:r>
    </w:p>
    <w:p w14:paraId="39F2F19F">
      <w:pPr>
        <w:rPr>
          <w:rFonts w:ascii="宋体" w:hAnsi="宋体" w:cs="宋体"/>
          <w:b/>
          <w:bCs/>
          <w:color w:val="auto"/>
          <w:sz w:val="32"/>
          <w:szCs w:val="32"/>
          <w:highlight w:val="none"/>
        </w:rPr>
      </w:pPr>
      <w:r>
        <w:rPr>
          <w:rFonts w:hint="eastAsia" w:ascii="宋体" w:hAnsi="宋体" w:cs="宋体"/>
          <w:b/>
          <w:bCs/>
          <w:color w:val="auto"/>
          <w:sz w:val="32"/>
          <w:szCs w:val="32"/>
          <w:highlight w:val="none"/>
        </w:rPr>
        <w:br w:type="page"/>
      </w:r>
    </w:p>
    <w:p w14:paraId="31999C7D">
      <w:pPr>
        <w:spacing w:line="400" w:lineRule="exact"/>
        <w:jc w:val="center"/>
        <w:outlineLvl w:val="0"/>
        <w:rPr>
          <w:rFonts w:ascii="宋体" w:hAnsi="宋体" w:cs="宋体"/>
          <w:b/>
          <w:bCs/>
          <w:color w:val="auto"/>
          <w:sz w:val="21"/>
          <w:szCs w:val="21"/>
          <w:highlight w:val="none"/>
        </w:rPr>
      </w:pPr>
      <w:r>
        <w:rPr>
          <w:rFonts w:hint="eastAsia" w:ascii="宋体" w:hAnsi="宋体" w:cs="宋体"/>
          <w:b/>
          <w:bCs/>
          <w:color w:val="auto"/>
          <w:sz w:val="21"/>
          <w:szCs w:val="21"/>
          <w:highlight w:val="none"/>
        </w:rPr>
        <w:t>目   录</w:t>
      </w:r>
    </w:p>
    <w:p w14:paraId="385E4B63">
      <w:pPr>
        <w:spacing w:line="400" w:lineRule="exact"/>
        <w:jc w:val="center"/>
        <w:rPr>
          <w:rFonts w:ascii="宋体" w:hAnsi="宋体" w:cs="宋体"/>
          <w:b/>
          <w:bCs/>
          <w:color w:val="auto"/>
          <w:sz w:val="21"/>
          <w:szCs w:val="21"/>
          <w:highlight w:val="none"/>
        </w:rPr>
      </w:pPr>
    </w:p>
    <w:p w14:paraId="108758F1">
      <w:pPr>
        <w:spacing w:line="400" w:lineRule="exact"/>
        <w:ind w:firstLine="420" w:firstLineChars="200"/>
        <w:rPr>
          <w:rFonts w:ascii="宋体" w:hAnsi="宋体" w:cs="宋体"/>
          <w:color w:val="auto"/>
          <w:sz w:val="21"/>
          <w:szCs w:val="21"/>
          <w:highlight w:val="none"/>
        </w:rPr>
      </w:pPr>
    </w:p>
    <w:p w14:paraId="5828F4A3">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（1）响应函；</w:t>
      </w:r>
    </w:p>
    <w:p w14:paraId="29BDF8CB">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（2）法定代表人身份证明；</w:t>
      </w:r>
    </w:p>
    <w:p w14:paraId="7D393768">
      <w:pPr>
        <w:snapToGrid w:val="0"/>
        <w:spacing w:line="400" w:lineRule="exact"/>
        <w:rPr>
          <w:rFonts w:ascii="宋体" w:hAnsi="宋体" w:cs="宋体"/>
          <w:color w:val="auto"/>
          <w:sz w:val="21"/>
          <w:szCs w:val="21"/>
          <w:highlight w:val="none"/>
        </w:rPr>
      </w:pPr>
      <w:r>
        <w:rPr>
          <w:rFonts w:hint="eastAsia" w:ascii="宋体" w:hAnsi="宋体" w:cs="宋体"/>
          <w:color w:val="auto"/>
          <w:kern w:val="0"/>
          <w:sz w:val="21"/>
          <w:szCs w:val="21"/>
          <w:highlight w:val="none"/>
        </w:rPr>
        <w:t>（3）法定代表人授权委托书</w:t>
      </w:r>
      <w:r>
        <w:rPr>
          <w:rFonts w:hint="eastAsia" w:ascii="宋体" w:hAnsi="宋体" w:cs="宋体"/>
          <w:color w:val="auto"/>
          <w:sz w:val="21"/>
          <w:szCs w:val="21"/>
          <w:highlight w:val="none"/>
        </w:rPr>
        <w:t>；</w:t>
      </w:r>
    </w:p>
    <w:p w14:paraId="1DF36BC2">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w:t>
      </w:r>
      <w:r>
        <w:rPr>
          <w:rFonts w:ascii="宋体" w:hAnsi="宋体" w:cs="宋体"/>
          <w:color w:val="auto"/>
          <w:sz w:val="21"/>
          <w:szCs w:val="21"/>
          <w:highlight w:val="none"/>
        </w:rPr>
        <w:t>4</w:t>
      </w:r>
      <w:r>
        <w:rPr>
          <w:rFonts w:hint="eastAsia" w:ascii="宋体" w:hAnsi="宋体" w:cs="宋体"/>
          <w:color w:val="auto"/>
          <w:sz w:val="21"/>
          <w:szCs w:val="21"/>
          <w:highlight w:val="none"/>
        </w:rPr>
        <w:t>）报价一览表</w:t>
      </w:r>
      <w:r>
        <w:rPr>
          <w:rFonts w:hint="eastAsia" w:ascii="宋体" w:hAnsi="宋体" w:cs="宋体"/>
          <w:color w:val="auto"/>
          <w:sz w:val="21"/>
          <w:szCs w:val="21"/>
          <w:highlight w:val="none"/>
          <w:lang w:val="en-US" w:eastAsia="zh-CN"/>
        </w:rPr>
        <w:t>及分项报价表</w:t>
      </w:r>
      <w:r>
        <w:rPr>
          <w:rFonts w:hint="eastAsia" w:ascii="宋体" w:hAnsi="宋体" w:cs="宋体"/>
          <w:color w:val="auto"/>
          <w:sz w:val="21"/>
          <w:szCs w:val="21"/>
          <w:highlight w:val="none"/>
        </w:rPr>
        <w:t>；</w:t>
      </w:r>
    </w:p>
    <w:p w14:paraId="35016BF1">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w:t>
      </w:r>
      <w:r>
        <w:rPr>
          <w:rFonts w:ascii="宋体" w:hAnsi="宋体" w:cs="宋体"/>
          <w:color w:val="auto"/>
          <w:sz w:val="21"/>
          <w:szCs w:val="21"/>
          <w:highlight w:val="none"/>
        </w:rPr>
        <w:t>5</w:t>
      </w:r>
      <w:r>
        <w:rPr>
          <w:rFonts w:hint="eastAsia" w:ascii="宋体" w:hAnsi="宋体" w:cs="宋体"/>
          <w:color w:val="auto"/>
          <w:sz w:val="21"/>
          <w:szCs w:val="21"/>
          <w:highlight w:val="none"/>
        </w:rPr>
        <w:t>）供应商信用承诺书；</w:t>
      </w:r>
    </w:p>
    <w:p w14:paraId="5A4A5F41">
      <w:pPr>
        <w:snapToGrid w:val="0"/>
        <w:spacing w:line="4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（6）响应人基本资格条件承诺书；</w:t>
      </w:r>
    </w:p>
    <w:p w14:paraId="5942ACFD">
      <w:pPr>
        <w:snapToGrid w:val="0"/>
        <w:spacing w:line="4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招标要求偏离表</w:t>
      </w:r>
    </w:p>
    <w:p w14:paraId="12DDDBDA">
      <w:pPr>
        <w:snapToGrid w:val="0"/>
        <w:spacing w:line="4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）响应人认为需要提供的其他说明和资料。</w:t>
      </w:r>
    </w:p>
    <w:p w14:paraId="6A1C3F1A">
      <w:pPr>
        <w:snapToGrid w:val="0"/>
        <w:spacing w:line="400" w:lineRule="exact"/>
        <w:rPr>
          <w:rFonts w:ascii="宋体" w:hAnsi="宋体" w:cs="宋体"/>
          <w:color w:val="auto"/>
          <w:sz w:val="21"/>
          <w:szCs w:val="21"/>
          <w:highlight w:val="none"/>
        </w:rPr>
      </w:pPr>
    </w:p>
    <w:p w14:paraId="5ABD648D">
      <w:pPr>
        <w:snapToGrid w:val="0"/>
        <w:spacing w:line="400" w:lineRule="exact"/>
        <w:ind w:firstLine="420" w:firstLineChars="200"/>
        <w:rPr>
          <w:rFonts w:ascii="宋体" w:hAnsi="宋体" w:cs="宋体"/>
          <w:color w:val="auto"/>
          <w:sz w:val="21"/>
          <w:szCs w:val="21"/>
          <w:highlight w:val="none"/>
        </w:rPr>
      </w:pPr>
    </w:p>
    <w:p w14:paraId="12B7BE83">
      <w:pPr>
        <w:spacing w:line="400" w:lineRule="exact"/>
        <w:rPr>
          <w:rFonts w:ascii="宋体" w:hAnsi="宋体" w:cs="宋体"/>
          <w:color w:val="auto"/>
          <w:sz w:val="21"/>
          <w:szCs w:val="21"/>
          <w:highlight w:val="none"/>
        </w:rPr>
      </w:pPr>
    </w:p>
    <w:p w14:paraId="3B423311">
      <w:pPr>
        <w:spacing w:line="400" w:lineRule="exact"/>
        <w:ind w:left="560" w:leftChars="200"/>
        <w:rPr>
          <w:rFonts w:ascii="宋体" w:hAnsi="宋体" w:cs="宋体"/>
          <w:color w:val="auto"/>
          <w:sz w:val="21"/>
          <w:szCs w:val="21"/>
          <w:highlight w:val="none"/>
        </w:rPr>
      </w:pPr>
    </w:p>
    <w:p w14:paraId="0175A6D1">
      <w:pPr>
        <w:spacing w:line="400" w:lineRule="exact"/>
        <w:rPr>
          <w:rFonts w:ascii="宋体" w:hAnsi="宋体" w:cs="宋体"/>
          <w:color w:val="auto"/>
          <w:sz w:val="21"/>
          <w:szCs w:val="21"/>
          <w:highlight w:val="none"/>
        </w:rPr>
      </w:pPr>
    </w:p>
    <w:p w14:paraId="45A11C3C">
      <w:pPr>
        <w:spacing w:line="400" w:lineRule="exact"/>
        <w:ind w:left="560" w:leftChars="200"/>
        <w:rPr>
          <w:rFonts w:ascii="宋体" w:hAnsi="宋体" w:cs="宋体"/>
          <w:color w:val="auto"/>
          <w:sz w:val="21"/>
          <w:szCs w:val="21"/>
          <w:highlight w:val="none"/>
        </w:rPr>
      </w:pPr>
    </w:p>
    <w:p w14:paraId="6250EFBB">
      <w:pPr>
        <w:spacing w:line="400" w:lineRule="exact"/>
        <w:rPr>
          <w:rFonts w:ascii="宋体" w:hAnsi="宋体" w:cs="宋体"/>
          <w:color w:val="auto"/>
          <w:sz w:val="21"/>
          <w:szCs w:val="21"/>
          <w:highlight w:val="none"/>
        </w:rPr>
      </w:pPr>
    </w:p>
    <w:p w14:paraId="27074C02">
      <w:pPr>
        <w:spacing w:line="400" w:lineRule="exact"/>
        <w:ind w:left="560" w:leftChars="200"/>
        <w:rPr>
          <w:rFonts w:ascii="宋体" w:hAnsi="宋体" w:cs="宋体"/>
          <w:color w:val="auto"/>
          <w:sz w:val="21"/>
          <w:szCs w:val="21"/>
          <w:highlight w:val="none"/>
        </w:rPr>
      </w:pPr>
    </w:p>
    <w:p w14:paraId="3743FB10">
      <w:pPr>
        <w:spacing w:line="400" w:lineRule="exact"/>
        <w:rPr>
          <w:rFonts w:ascii="宋体" w:hAnsi="宋体" w:cs="宋体"/>
          <w:color w:val="auto"/>
          <w:sz w:val="21"/>
          <w:szCs w:val="21"/>
          <w:highlight w:val="none"/>
        </w:rPr>
      </w:pPr>
    </w:p>
    <w:p w14:paraId="43296E42">
      <w:pPr>
        <w:spacing w:line="400" w:lineRule="exact"/>
        <w:ind w:left="560" w:leftChars="200"/>
        <w:rPr>
          <w:rFonts w:ascii="宋体" w:hAnsi="宋体" w:cs="宋体"/>
          <w:color w:val="auto"/>
          <w:sz w:val="21"/>
          <w:szCs w:val="21"/>
          <w:highlight w:val="none"/>
        </w:rPr>
      </w:pPr>
    </w:p>
    <w:p w14:paraId="22295DF6">
      <w:pPr>
        <w:spacing w:line="400" w:lineRule="exact"/>
        <w:rPr>
          <w:rFonts w:ascii="宋体" w:hAnsi="宋体" w:cs="宋体"/>
          <w:color w:val="auto"/>
          <w:sz w:val="21"/>
          <w:szCs w:val="21"/>
          <w:highlight w:val="none"/>
        </w:rPr>
      </w:pPr>
    </w:p>
    <w:p w14:paraId="6030EC61">
      <w:pPr>
        <w:rPr>
          <w:rFonts w:ascii="宋体" w:hAnsi="宋体" w:cs="宋体"/>
          <w:bCs/>
          <w:color w:val="auto"/>
          <w:sz w:val="21"/>
          <w:szCs w:val="21"/>
          <w:highlight w:val="none"/>
        </w:rPr>
      </w:pPr>
      <w:r>
        <w:rPr>
          <w:rFonts w:hint="eastAsia" w:ascii="宋体" w:hAnsi="宋体" w:cs="宋体"/>
          <w:bCs/>
          <w:color w:val="auto"/>
          <w:sz w:val="21"/>
          <w:szCs w:val="21"/>
          <w:highlight w:val="none"/>
        </w:rPr>
        <w:br w:type="page"/>
      </w:r>
    </w:p>
    <w:p w14:paraId="14BE129E">
      <w:pPr>
        <w:outlineLvl w:val="0"/>
        <w:rPr>
          <w:rFonts w:ascii="宋体" w:hAnsi="宋体" w:cs="宋体"/>
          <w:bCs/>
          <w:color w:val="auto"/>
          <w:sz w:val="21"/>
          <w:szCs w:val="21"/>
          <w:highlight w:val="none"/>
        </w:rPr>
      </w:pPr>
      <w:r>
        <w:rPr>
          <w:rFonts w:hint="eastAsia" w:ascii="宋体" w:hAnsi="宋体" w:cs="宋体"/>
          <w:bCs/>
          <w:color w:val="auto"/>
          <w:sz w:val="21"/>
          <w:szCs w:val="21"/>
          <w:highlight w:val="none"/>
        </w:rPr>
        <w:t>附件一：</w:t>
      </w:r>
    </w:p>
    <w:p w14:paraId="5FC6EDD3">
      <w:pPr>
        <w:jc w:val="center"/>
        <w:outlineLvl w:val="0"/>
        <w:rPr>
          <w:rFonts w:ascii="宋体" w:hAnsi="宋体" w:cs="宋体"/>
          <w:b/>
          <w:bCs/>
          <w:color w:val="auto"/>
          <w:sz w:val="21"/>
          <w:szCs w:val="21"/>
          <w:highlight w:val="none"/>
        </w:rPr>
      </w:pPr>
      <w:r>
        <w:rPr>
          <w:rFonts w:hint="eastAsia" w:ascii="宋体" w:hAnsi="宋体" w:cs="宋体"/>
          <w:b/>
          <w:bCs/>
          <w:color w:val="auto"/>
          <w:sz w:val="21"/>
          <w:szCs w:val="21"/>
          <w:highlight w:val="none"/>
        </w:rPr>
        <w:t>响应函</w:t>
      </w:r>
    </w:p>
    <w:p w14:paraId="7302DE94">
      <w:pPr>
        <w:adjustRightInd w:val="0"/>
        <w:snapToGrid w:val="0"/>
        <w:spacing w:line="400" w:lineRule="exact"/>
        <w:rPr>
          <w:rFonts w:ascii="宋体" w:hAnsi="宋体" w:cs="宋体"/>
          <w:color w:val="auto"/>
          <w:kern w:val="0"/>
          <w:sz w:val="21"/>
          <w:szCs w:val="21"/>
          <w:highlight w:val="none"/>
          <w:u w:val="single"/>
        </w:rPr>
      </w:pPr>
      <w:r>
        <w:rPr>
          <w:rFonts w:ascii="宋体" w:hAnsi="宋体" w:cs="宋体"/>
          <w:color w:val="auto"/>
          <w:kern w:val="0"/>
          <w:sz w:val="21"/>
          <w:szCs w:val="21"/>
          <w:highlight w:val="none"/>
        </w:rPr>
        <w:t>致：</w:t>
      </w:r>
      <w:r>
        <w:rPr>
          <w:rFonts w:ascii="宋体" w:hAnsi="宋体" w:cs="宋体"/>
          <w:color w:val="auto"/>
          <w:kern w:val="0"/>
          <w:sz w:val="21"/>
          <w:szCs w:val="21"/>
          <w:highlight w:val="none"/>
          <w:u w:val="single"/>
        </w:rPr>
        <w:t xml:space="preserve">  （采购人名称）</w:t>
      </w:r>
    </w:p>
    <w:p w14:paraId="6FA36365">
      <w:pPr>
        <w:spacing w:line="400" w:lineRule="exact"/>
        <w:ind w:firstLine="420" w:firstLineChars="200"/>
        <w:rPr>
          <w:rFonts w:ascii="宋体" w:hAnsi="宋体" w:cs="宋体"/>
          <w:color w:val="auto"/>
          <w:kern w:val="0"/>
          <w:sz w:val="21"/>
          <w:szCs w:val="21"/>
          <w:highlight w:val="none"/>
        </w:rPr>
      </w:pPr>
      <w:r>
        <w:rPr>
          <w:rFonts w:ascii="宋体" w:hAnsi="宋体" w:cs="宋体"/>
          <w:color w:val="auto"/>
          <w:kern w:val="0"/>
          <w:sz w:val="21"/>
          <w:szCs w:val="21"/>
          <w:highlight w:val="none"/>
        </w:rPr>
        <w:t>我单位收到贵单位“</w:t>
      </w:r>
      <w:r>
        <w:rPr>
          <w:rFonts w:ascii="宋体" w:hAnsi="宋体" w:cs="宋体"/>
          <w:color w:val="auto"/>
          <w:kern w:val="0"/>
          <w:sz w:val="21"/>
          <w:szCs w:val="21"/>
          <w:highlight w:val="none"/>
          <w:u w:val="single"/>
        </w:rPr>
        <w:t xml:space="preserve">   （采购项目</w:t>
      </w:r>
      <w:r>
        <w:rPr>
          <w:rFonts w:hint="eastAsia" w:ascii="宋体" w:hAnsi="宋体" w:cs="宋体"/>
          <w:color w:val="auto"/>
          <w:kern w:val="0"/>
          <w:sz w:val="21"/>
          <w:szCs w:val="21"/>
          <w:highlight w:val="none"/>
          <w:u w:val="single"/>
        </w:rPr>
        <w:t>名称</w:t>
      </w:r>
      <w:r>
        <w:rPr>
          <w:rFonts w:ascii="宋体" w:hAnsi="宋体" w:cs="宋体"/>
          <w:color w:val="auto"/>
          <w:kern w:val="0"/>
          <w:sz w:val="21"/>
          <w:szCs w:val="21"/>
          <w:highlight w:val="none"/>
          <w:u w:val="single"/>
        </w:rPr>
        <w:t xml:space="preserve">） </w:t>
      </w:r>
      <w:r>
        <w:rPr>
          <w:rFonts w:ascii="宋体" w:hAnsi="宋体" w:cs="宋体"/>
          <w:color w:val="auto"/>
          <w:kern w:val="0"/>
          <w:sz w:val="21"/>
          <w:szCs w:val="21"/>
          <w:highlight w:val="none"/>
        </w:rPr>
        <w:t>”</w:t>
      </w:r>
      <w:r>
        <w:rPr>
          <w:rFonts w:hint="eastAsia" w:cs="宋体" w:asciiTheme="majorEastAsia" w:hAnsiTheme="majorEastAsia" w:eastAsiaTheme="majorEastAsia"/>
          <w:color w:val="auto"/>
          <w:sz w:val="21"/>
          <w:szCs w:val="21"/>
          <w:highlight w:val="none"/>
        </w:rPr>
        <w:t>谈判文件</w:t>
      </w:r>
      <w:r>
        <w:rPr>
          <w:rFonts w:ascii="宋体" w:hAnsi="宋体" w:cs="宋体"/>
          <w:color w:val="auto"/>
          <w:kern w:val="0"/>
          <w:sz w:val="21"/>
          <w:szCs w:val="21"/>
          <w:highlight w:val="none"/>
        </w:rPr>
        <w:t>后，经详细研究，我们决定参加该项目采购活动。为此，我方郑重声明以下诸点，并负法律责任。</w:t>
      </w:r>
    </w:p>
    <w:p w14:paraId="6B0A51D1">
      <w:pPr>
        <w:spacing w:line="400" w:lineRule="exact"/>
        <w:ind w:firstLine="420" w:firstLineChars="200"/>
        <w:rPr>
          <w:rFonts w:ascii="宋体" w:hAnsi="宋体" w:cs="宋体"/>
          <w:color w:val="auto"/>
          <w:kern w:val="0"/>
          <w:sz w:val="21"/>
          <w:szCs w:val="21"/>
          <w:highlight w:val="none"/>
        </w:rPr>
      </w:pPr>
      <w:r>
        <w:rPr>
          <w:rFonts w:ascii="宋体" w:hAnsi="宋体" w:cs="宋体"/>
          <w:color w:val="auto"/>
          <w:kern w:val="0"/>
          <w:sz w:val="21"/>
          <w:szCs w:val="21"/>
          <w:highlight w:val="none"/>
        </w:rPr>
        <w:t>1.同意在本项目</w:t>
      </w:r>
      <w:r>
        <w:rPr>
          <w:rFonts w:hint="eastAsia" w:cs="宋体" w:asciiTheme="majorEastAsia" w:hAnsiTheme="majorEastAsia" w:eastAsiaTheme="majorEastAsia"/>
          <w:color w:val="auto"/>
          <w:sz w:val="21"/>
          <w:szCs w:val="21"/>
          <w:highlight w:val="none"/>
        </w:rPr>
        <w:t>谈判文件</w:t>
      </w:r>
      <w:r>
        <w:rPr>
          <w:rFonts w:ascii="宋体" w:hAnsi="宋体" w:cs="宋体"/>
          <w:color w:val="auto"/>
          <w:kern w:val="0"/>
          <w:sz w:val="21"/>
          <w:szCs w:val="21"/>
          <w:highlight w:val="none"/>
        </w:rPr>
        <w:t>中规定的开标日起120天内遵守本响应文件中的承诺且在此期限期满之前均具有约束力。</w:t>
      </w:r>
    </w:p>
    <w:p w14:paraId="4DE9E831">
      <w:pPr>
        <w:spacing w:line="400" w:lineRule="exact"/>
        <w:ind w:firstLine="420" w:firstLineChars="200"/>
        <w:rPr>
          <w:rFonts w:ascii="宋体" w:hAnsi="宋体" w:cs="宋体"/>
          <w:color w:val="auto"/>
          <w:kern w:val="0"/>
          <w:sz w:val="21"/>
          <w:szCs w:val="21"/>
          <w:highlight w:val="none"/>
        </w:rPr>
      </w:pPr>
      <w:r>
        <w:rPr>
          <w:rFonts w:ascii="宋体" w:hAnsi="宋体" w:cs="宋体"/>
          <w:color w:val="auto"/>
          <w:kern w:val="0"/>
          <w:sz w:val="21"/>
          <w:szCs w:val="21"/>
          <w:highlight w:val="none"/>
        </w:rPr>
        <w:t>2.提供</w:t>
      </w:r>
      <w:r>
        <w:rPr>
          <w:rFonts w:hint="eastAsia" w:cs="宋体" w:asciiTheme="majorEastAsia" w:hAnsiTheme="majorEastAsia" w:eastAsiaTheme="majorEastAsia"/>
          <w:color w:val="auto"/>
          <w:sz w:val="21"/>
          <w:szCs w:val="21"/>
          <w:highlight w:val="none"/>
        </w:rPr>
        <w:t>谈判文件</w:t>
      </w:r>
      <w:r>
        <w:rPr>
          <w:rFonts w:ascii="宋体" w:hAnsi="宋体" w:cs="宋体"/>
          <w:color w:val="auto"/>
          <w:kern w:val="0"/>
          <w:sz w:val="21"/>
          <w:szCs w:val="21"/>
          <w:highlight w:val="none"/>
        </w:rPr>
        <w:t>规定的全部响应文件，包括响应文件、报价一览表、资格审查材料等。</w:t>
      </w:r>
    </w:p>
    <w:p w14:paraId="3235B70F">
      <w:pPr>
        <w:spacing w:line="400" w:lineRule="exact"/>
        <w:ind w:firstLine="420" w:firstLineChars="200"/>
        <w:rPr>
          <w:rFonts w:ascii="宋体" w:hAnsi="宋体" w:cs="宋体"/>
          <w:color w:val="auto"/>
          <w:kern w:val="0"/>
          <w:sz w:val="21"/>
          <w:szCs w:val="21"/>
          <w:highlight w:val="none"/>
        </w:rPr>
      </w:pPr>
      <w:r>
        <w:rPr>
          <w:rFonts w:ascii="宋体" w:hAnsi="宋体" w:cs="宋体"/>
          <w:color w:val="auto"/>
          <w:kern w:val="0"/>
          <w:sz w:val="21"/>
          <w:szCs w:val="21"/>
          <w:highlight w:val="none"/>
        </w:rPr>
        <w:t>3.完全理解</w:t>
      </w:r>
      <w:r>
        <w:rPr>
          <w:rFonts w:hint="eastAsia" w:ascii="宋体" w:hAnsi="宋体" w:cs="宋体"/>
          <w:color w:val="auto"/>
          <w:kern w:val="0"/>
          <w:sz w:val="21"/>
          <w:szCs w:val="21"/>
          <w:highlight w:val="none"/>
        </w:rPr>
        <w:t>响应</w:t>
      </w:r>
      <w:r>
        <w:rPr>
          <w:rFonts w:ascii="宋体" w:hAnsi="宋体" w:cs="宋体"/>
          <w:color w:val="auto"/>
          <w:kern w:val="0"/>
          <w:sz w:val="21"/>
          <w:szCs w:val="21"/>
          <w:highlight w:val="none"/>
        </w:rPr>
        <w:t>报价超过预算金额或最高限价时，</w:t>
      </w:r>
      <w:r>
        <w:rPr>
          <w:rFonts w:hint="eastAsia" w:ascii="宋体" w:hAnsi="宋体" w:cs="宋体"/>
          <w:color w:val="auto"/>
          <w:kern w:val="0"/>
          <w:sz w:val="21"/>
          <w:szCs w:val="21"/>
          <w:highlight w:val="none"/>
        </w:rPr>
        <w:t>响应</w:t>
      </w:r>
      <w:r>
        <w:rPr>
          <w:rFonts w:ascii="宋体" w:hAnsi="宋体" w:cs="宋体"/>
          <w:color w:val="auto"/>
          <w:kern w:val="0"/>
          <w:sz w:val="21"/>
          <w:szCs w:val="21"/>
          <w:highlight w:val="none"/>
        </w:rPr>
        <w:t>无效。</w:t>
      </w:r>
    </w:p>
    <w:p w14:paraId="445A426D">
      <w:pPr>
        <w:spacing w:line="400" w:lineRule="exact"/>
        <w:ind w:firstLine="420" w:firstLineChars="200"/>
        <w:rPr>
          <w:rFonts w:ascii="宋体" w:hAnsi="宋体" w:cs="宋体"/>
          <w:color w:val="auto"/>
          <w:kern w:val="0"/>
          <w:sz w:val="21"/>
          <w:szCs w:val="21"/>
          <w:highlight w:val="none"/>
        </w:rPr>
      </w:pPr>
      <w:r>
        <w:rPr>
          <w:rFonts w:ascii="宋体" w:hAnsi="宋体" w:cs="宋体"/>
          <w:color w:val="auto"/>
          <w:kern w:val="0"/>
          <w:sz w:val="21"/>
          <w:szCs w:val="21"/>
          <w:highlight w:val="none"/>
        </w:rPr>
        <w:t>4.保证忠实地执行双方所签订的合同，并承担合同规定的责任和义务。完全理解</w:t>
      </w:r>
      <w:r>
        <w:rPr>
          <w:rFonts w:hint="eastAsia" w:cs="宋体" w:asciiTheme="majorEastAsia" w:hAnsiTheme="majorEastAsia" w:eastAsiaTheme="majorEastAsia"/>
          <w:color w:val="auto"/>
          <w:sz w:val="21"/>
          <w:szCs w:val="21"/>
          <w:highlight w:val="none"/>
        </w:rPr>
        <w:t>谈判文件</w:t>
      </w:r>
      <w:r>
        <w:rPr>
          <w:rFonts w:ascii="宋体" w:hAnsi="宋体" w:cs="宋体"/>
          <w:color w:val="auto"/>
          <w:kern w:val="0"/>
          <w:sz w:val="21"/>
          <w:szCs w:val="21"/>
          <w:highlight w:val="none"/>
        </w:rPr>
        <w:t>中的各项商务和技术要求，若有偏差，已在响应文件商务条款偏离表中予以明确特别说明。</w:t>
      </w:r>
    </w:p>
    <w:p w14:paraId="59C74D3E">
      <w:pPr>
        <w:spacing w:line="400" w:lineRule="exact"/>
        <w:ind w:firstLine="420" w:firstLineChars="200"/>
        <w:rPr>
          <w:rFonts w:ascii="宋体" w:hAnsi="宋体" w:cs="宋体"/>
          <w:color w:val="auto"/>
          <w:kern w:val="0"/>
          <w:sz w:val="21"/>
          <w:szCs w:val="21"/>
          <w:highlight w:val="none"/>
        </w:rPr>
      </w:pPr>
      <w:r>
        <w:rPr>
          <w:rFonts w:ascii="宋体" w:hAnsi="宋体" w:cs="宋体"/>
          <w:color w:val="auto"/>
          <w:kern w:val="0"/>
          <w:sz w:val="21"/>
          <w:szCs w:val="21"/>
          <w:highlight w:val="none"/>
        </w:rPr>
        <w:t>5.完全理解贵方不一定接受最低价的投标或收到的任何投标。</w:t>
      </w:r>
    </w:p>
    <w:p w14:paraId="6C548E62">
      <w:pPr>
        <w:spacing w:line="400" w:lineRule="exact"/>
        <w:ind w:firstLine="420" w:firstLineChars="200"/>
        <w:rPr>
          <w:rFonts w:ascii="宋体" w:hAnsi="宋体" w:cs="宋体"/>
          <w:color w:val="auto"/>
          <w:kern w:val="0"/>
          <w:sz w:val="21"/>
          <w:szCs w:val="21"/>
          <w:highlight w:val="none"/>
        </w:rPr>
      </w:pPr>
      <w:r>
        <w:rPr>
          <w:rFonts w:ascii="宋体" w:hAnsi="宋体" w:cs="宋体"/>
          <w:color w:val="auto"/>
          <w:kern w:val="0"/>
          <w:sz w:val="21"/>
          <w:szCs w:val="21"/>
          <w:highlight w:val="none"/>
        </w:rPr>
        <w:t>6.愿意向贵方提供任何与本项</w:t>
      </w:r>
      <w:r>
        <w:rPr>
          <w:rFonts w:hint="eastAsia" w:ascii="宋体" w:hAnsi="宋体" w:cs="宋体"/>
          <w:color w:val="auto"/>
          <w:kern w:val="0"/>
          <w:sz w:val="21"/>
          <w:szCs w:val="21"/>
          <w:highlight w:val="none"/>
        </w:rPr>
        <w:t>投标</w:t>
      </w:r>
      <w:r>
        <w:rPr>
          <w:rFonts w:ascii="宋体" w:hAnsi="宋体" w:cs="宋体"/>
          <w:color w:val="auto"/>
          <w:kern w:val="0"/>
          <w:sz w:val="21"/>
          <w:szCs w:val="21"/>
          <w:highlight w:val="none"/>
        </w:rPr>
        <w:t>有关的数据、情况和技术资料。若贵方需要，我方愿意提供我方作出的一切承诺的证明材料。</w:t>
      </w:r>
    </w:p>
    <w:p w14:paraId="4B279716">
      <w:pPr>
        <w:spacing w:line="400" w:lineRule="exact"/>
        <w:ind w:firstLine="420" w:firstLineChars="200"/>
        <w:rPr>
          <w:rFonts w:ascii="宋体" w:hAnsi="宋体" w:cs="宋体"/>
          <w:color w:val="auto"/>
          <w:kern w:val="0"/>
          <w:sz w:val="21"/>
          <w:szCs w:val="21"/>
          <w:highlight w:val="none"/>
        </w:rPr>
      </w:pPr>
      <w:r>
        <w:rPr>
          <w:rFonts w:ascii="宋体" w:hAnsi="宋体" w:cs="宋体"/>
          <w:color w:val="auto"/>
          <w:kern w:val="0"/>
          <w:sz w:val="21"/>
          <w:szCs w:val="21"/>
          <w:highlight w:val="none"/>
        </w:rPr>
        <w:t>7.我方已详细审核全部响应文件，包括响应文件修改书（如有的话）、参考资料及有关附件，确认无误。</w:t>
      </w:r>
    </w:p>
    <w:p w14:paraId="2236A87A">
      <w:pPr>
        <w:spacing w:line="400" w:lineRule="exact"/>
        <w:ind w:firstLine="420" w:firstLineChars="200"/>
        <w:rPr>
          <w:rFonts w:ascii="宋体" w:hAnsi="宋体" w:cs="宋体"/>
          <w:color w:val="auto"/>
          <w:kern w:val="0"/>
          <w:sz w:val="21"/>
          <w:szCs w:val="21"/>
          <w:highlight w:val="none"/>
        </w:rPr>
      </w:pPr>
      <w:r>
        <w:rPr>
          <w:rFonts w:ascii="宋体" w:hAnsi="宋体" w:cs="宋体"/>
          <w:color w:val="auto"/>
          <w:kern w:val="0"/>
          <w:sz w:val="21"/>
          <w:szCs w:val="21"/>
          <w:highlight w:val="none"/>
        </w:rPr>
        <w:t>8.采购人若需追加采购本项目</w:t>
      </w:r>
      <w:r>
        <w:rPr>
          <w:rFonts w:hint="eastAsia" w:cs="宋体" w:asciiTheme="majorEastAsia" w:hAnsiTheme="majorEastAsia" w:eastAsiaTheme="majorEastAsia"/>
          <w:color w:val="auto"/>
          <w:sz w:val="21"/>
          <w:szCs w:val="21"/>
          <w:highlight w:val="none"/>
        </w:rPr>
        <w:t>谈判文件</w:t>
      </w:r>
      <w:r>
        <w:rPr>
          <w:rFonts w:ascii="宋体" w:hAnsi="宋体" w:cs="宋体"/>
          <w:color w:val="auto"/>
          <w:kern w:val="0"/>
          <w:sz w:val="21"/>
          <w:szCs w:val="21"/>
          <w:highlight w:val="none"/>
        </w:rPr>
        <w:t>所列货物及相关服务的，在不改变合同其他实质性条款的前提下，按相同或更优惠的折扣率保证供货。</w:t>
      </w:r>
    </w:p>
    <w:p w14:paraId="21E8D2FE">
      <w:pPr>
        <w:spacing w:line="400" w:lineRule="exact"/>
        <w:ind w:firstLine="420" w:firstLineChars="200"/>
        <w:rPr>
          <w:rFonts w:ascii="宋体" w:hAnsi="宋体" w:cs="宋体"/>
          <w:color w:val="auto"/>
          <w:kern w:val="0"/>
          <w:sz w:val="21"/>
          <w:szCs w:val="21"/>
          <w:highlight w:val="none"/>
        </w:rPr>
      </w:pPr>
      <w:r>
        <w:rPr>
          <w:rFonts w:ascii="宋体" w:hAnsi="宋体" w:cs="宋体"/>
          <w:color w:val="auto"/>
          <w:kern w:val="0"/>
          <w:sz w:val="21"/>
          <w:szCs w:val="21"/>
          <w:highlight w:val="none"/>
        </w:rPr>
        <w:t>9.接受</w:t>
      </w:r>
      <w:r>
        <w:rPr>
          <w:rFonts w:hint="eastAsia" w:cs="宋体" w:asciiTheme="majorEastAsia" w:hAnsiTheme="majorEastAsia" w:eastAsiaTheme="majorEastAsia"/>
          <w:color w:val="auto"/>
          <w:sz w:val="21"/>
          <w:szCs w:val="21"/>
          <w:highlight w:val="none"/>
        </w:rPr>
        <w:t>谈判文件</w:t>
      </w:r>
      <w:r>
        <w:rPr>
          <w:rFonts w:ascii="宋体" w:hAnsi="宋体" w:cs="宋体"/>
          <w:color w:val="auto"/>
          <w:kern w:val="0"/>
          <w:sz w:val="21"/>
          <w:szCs w:val="21"/>
          <w:highlight w:val="none"/>
        </w:rPr>
        <w:t>中全部条款且无任何异议。</w:t>
      </w:r>
    </w:p>
    <w:p w14:paraId="71FF6BA0">
      <w:pPr>
        <w:spacing w:line="400" w:lineRule="exact"/>
        <w:ind w:firstLine="420" w:firstLineChars="200"/>
        <w:rPr>
          <w:rFonts w:ascii="宋体" w:hAnsi="宋体" w:cs="宋体"/>
          <w:color w:val="auto"/>
          <w:kern w:val="0"/>
          <w:sz w:val="21"/>
          <w:szCs w:val="21"/>
          <w:highlight w:val="none"/>
        </w:rPr>
      </w:pPr>
      <w:r>
        <w:rPr>
          <w:rFonts w:ascii="宋体" w:hAnsi="宋体" w:cs="宋体"/>
          <w:color w:val="auto"/>
          <w:kern w:val="0"/>
          <w:sz w:val="21"/>
          <w:szCs w:val="21"/>
          <w:highlight w:val="none"/>
        </w:rPr>
        <w:t>如果我方违反上述承诺，或承诺内容不属实，我方愿意承担一切不利的法律后果。</w:t>
      </w:r>
    </w:p>
    <w:p w14:paraId="2938F72D">
      <w:pPr>
        <w:spacing w:line="400" w:lineRule="exact"/>
        <w:ind w:firstLine="840" w:firstLineChars="400"/>
        <w:rPr>
          <w:rFonts w:ascii="宋体" w:hAnsi="宋体" w:cs="宋体"/>
          <w:color w:val="auto"/>
          <w:kern w:val="0"/>
          <w:sz w:val="21"/>
          <w:szCs w:val="21"/>
          <w:highlight w:val="none"/>
        </w:rPr>
      </w:pPr>
      <w:r>
        <w:rPr>
          <w:rFonts w:ascii="宋体" w:hAnsi="宋体" w:cs="宋体"/>
          <w:color w:val="auto"/>
          <w:kern w:val="0"/>
          <w:sz w:val="21"/>
          <w:szCs w:val="21"/>
          <w:highlight w:val="none"/>
        </w:rPr>
        <w:t>与本</w:t>
      </w:r>
      <w:r>
        <w:rPr>
          <w:rFonts w:hint="eastAsia" w:ascii="宋体" w:hAnsi="宋体" w:cs="宋体"/>
          <w:color w:val="auto"/>
          <w:kern w:val="0"/>
          <w:sz w:val="21"/>
          <w:szCs w:val="21"/>
          <w:highlight w:val="none"/>
        </w:rPr>
        <w:t>投标</w:t>
      </w:r>
      <w:r>
        <w:rPr>
          <w:rFonts w:ascii="宋体" w:hAnsi="宋体" w:cs="宋体"/>
          <w:color w:val="auto"/>
          <w:kern w:val="0"/>
          <w:sz w:val="21"/>
          <w:szCs w:val="21"/>
          <w:highlight w:val="none"/>
        </w:rPr>
        <w:t>有关的一切往来通讯请寄：</w:t>
      </w:r>
    </w:p>
    <w:p w14:paraId="155B5982">
      <w:pPr>
        <w:spacing w:line="400" w:lineRule="exact"/>
        <w:ind w:firstLine="840" w:firstLineChars="400"/>
        <w:rPr>
          <w:rFonts w:ascii="宋体" w:hAnsi="宋体" w:cs="宋体"/>
          <w:color w:val="auto"/>
          <w:kern w:val="0"/>
          <w:sz w:val="21"/>
          <w:szCs w:val="21"/>
          <w:highlight w:val="none"/>
          <w:u w:val="single"/>
        </w:rPr>
      </w:pPr>
      <w:r>
        <w:rPr>
          <w:rFonts w:ascii="宋体" w:hAnsi="宋体" w:cs="宋体"/>
          <w:color w:val="auto"/>
          <w:kern w:val="0"/>
          <w:sz w:val="21"/>
          <w:szCs w:val="21"/>
          <w:highlight w:val="none"/>
        </w:rPr>
        <w:t>地址：</w:t>
      </w:r>
    </w:p>
    <w:p w14:paraId="35AB5A5C">
      <w:pPr>
        <w:spacing w:line="400" w:lineRule="exact"/>
        <w:ind w:firstLine="840" w:firstLineChars="400"/>
        <w:rPr>
          <w:rFonts w:ascii="宋体" w:hAnsi="宋体" w:cs="宋体"/>
          <w:color w:val="auto"/>
          <w:kern w:val="0"/>
          <w:sz w:val="21"/>
          <w:szCs w:val="21"/>
          <w:highlight w:val="none"/>
        </w:rPr>
      </w:pPr>
      <w:r>
        <w:rPr>
          <w:rFonts w:ascii="宋体" w:hAnsi="宋体" w:cs="宋体"/>
          <w:color w:val="auto"/>
          <w:kern w:val="0"/>
          <w:sz w:val="21"/>
          <w:szCs w:val="21"/>
          <w:highlight w:val="none"/>
        </w:rPr>
        <w:t>邮编：</w:t>
      </w:r>
    </w:p>
    <w:p w14:paraId="0CC74CEC">
      <w:pPr>
        <w:spacing w:line="400" w:lineRule="exact"/>
        <w:ind w:firstLine="840" w:firstLineChars="400"/>
        <w:rPr>
          <w:rFonts w:ascii="宋体" w:hAnsi="宋体" w:cs="宋体"/>
          <w:color w:val="auto"/>
          <w:kern w:val="0"/>
          <w:sz w:val="21"/>
          <w:szCs w:val="21"/>
          <w:highlight w:val="none"/>
          <w:u w:val="single"/>
        </w:rPr>
      </w:pPr>
      <w:r>
        <w:rPr>
          <w:rFonts w:ascii="宋体" w:hAnsi="宋体" w:cs="宋体"/>
          <w:color w:val="auto"/>
          <w:kern w:val="0"/>
          <w:sz w:val="21"/>
          <w:szCs w:val="21"/>
          <w:highlight w:val="none"/>
        </w:rPr>
        <w:t>电话：</w:t>
      </w:r>
    </w:p>
    <w:p w14:paraId="5B3F72AF">
      <w:pPr>
        <w:spacing w:line="400" w:lineRule="exact"/>
        <w:ind w:firstLine="840" w:firstLineChars="400"/>
        <w:rPr>
          <w:rFonts w:ascii="宋体" w:hAnsi="宋体" w:cs="宋体"/>
          <w:color w:val="auto"/>
          <w:kern w:val="0"/>
          <w:sz w:val="21"/>
          <w:szCs w:val="21"/>
          <w:highlight w:val="none"/>
          <w:u w:val="single"/>
        </w:rPr>
      </w:pPr>
      <w:r>
        <w:rPr>
          <w:rFonts w:ascii="宋体" w:hAnsi="宋体" w:cs="宋体"/>
          <w:color w:val="auto"/>
          <w:kern w:val="0"/>
          <w:sz w:val="21"/>
          <w:szCs w:val="21"/>
          <w:highlight w:val="none"/>
        </w:rPr>
        <w:t>传真：</w:t>
      </w:r>
    </w:p>
    <w:p w14:paraId="7372456C">
      <w:pPr>
        <w:spacing w:line="400" w:lineRule="exact"/>
        <w:ind w:firstLine="840" w:firstLineChars="400"/>
        <w:rPr>
          <w:rFonts w:ascii="宋体" w:hAnsi="宋体" w:cs="宋体"/>
          <w:color w:val="auto"/>
          <w:kern w:val="0"/>
          <w:sz w:val="21"/>
          <w:szCs w:val="21"/>
          <w:highlight w:val="none"/>
          <w:u w:val="single"/>
        </w:rPr>
      </w:pPr>
      <w:r>
        <w:rPr>
          <w:rFonts w:ascii="宋体" w:hAnsi="宋体" w:cs="宋体"/>
          <w:color w:val="auto"/>
          <w:kern w:val="0"/>
          <w:sz w:val="21"/>
          <w:szCs w:val="21"/>
          <w:highlight w:val="none"/>
        </w:rPr>
        <w:t>响应人代表姓名：</w:t>
      </w:r>
    </w:p>
    <w:p w14:paraId="46E413E6">
      <w:pPr>
        <w:spacing w:line="400" w:lineRule="exact"/>
        <w:ind w:firstLine="840" w:firstLineChars="400"/>
        <w:rPr>
          <w:rFonts w:ascii="宋体" w:hAnsi="宋体" w:cs="宋体"/>
          <w:color w:val="auto"/>
          <w:kern w:val="0"/>
          <w:sz w:val="21"/>
          <w:szCs w:val="21"/>
          <w:highlight w:val="none"/>
          <w:u w:val="single"/>
        </w:rPr>
      </w:pPr>
      <w:r>
        <w:rPr>
          <w:rFonts w:ascii="宋体" w:hAnsi="宋体" w:cs="宋体"/>
          <w:color w:val="auto"/>
          <w:kern w:val="0"/>
          <w:sz w:val="21"/>
          <w:szCs w:val="21"/>
          <w:highlight w:val="none"/>
        </w:rPr>
        <w:t>响应人代表联系电话（手机、座机）：</w:t>
      </w:r>
    </w:p>
    <w:p w14:paraId="2F44B8C1">
      <w:pPr>
        <w:spacing w:line="400" w:lineRule="exact"/>
        <w:ind w:firstLine="840" w:firstLineChars="400"/>
        <w:rPr>
          <w:rFonts w:ascii="宋体" w:hAnsi="宋体" w:cs="宋体"/>
          <w:color w:val="auto"/>
          <w:kern w:val="0"/>
          <w:sz w:val="21"/>
          <w:szCs w:val="21"/>
          <w:highlight w:val="none"/>
          <w:u w:val="single"/>
        </w:rPr>
      </w:pPr>
      <w:r>
        <w:rPr>
          <w:rFonts w:ascii="宋体" w:hAnsi="宋体" w:cs="宋体"/>
          <w:color w:val="auto"/>
          <w:kern w:val="0"/>
          <w:sz w:val="21"/>
          <w:szCs w:val="21"/>
          <w:highlight w:val="none"/>
        </w:rPr>
        <w:t>响应人代表电子邮箱:</w:t>
      </w:r>
    </w:p>
    <w:p w14:paraId="0BE56455">
      <w:pPr>
        <w:spacing w:line="400" w:lineRule="exact"/>
        <w:ind w:firstLine="420" w:firstLineChars="200"/>
        <w:rPr>
          <w:rFonts w:ascii="宋体" w:hAnsi="宋体" w:cs="宋体"/>
          <w:color w:val="auto"/>
          <w:kern w:val="0"/>
          <w:sz w:val="21"/>
          <w:szCs w:val="21"/>
          <w:highlight w:val="none"/>
        </w:rPr>
      </w:pPr>
    </w:p>
    <w:p w14:paraId="46C8FDE3">
      <w:pPr>
        <w:spacing w:line="400" w:lineRule="exact"/>
        <w:ind w:firstLine="840" w:firstLineChars="400"/>
        <w:rPr>
          <w:rFonts w:ascii="宋体" w:hAnsi="宋体" w:cs="宋体"/>
          <w:color w:val="auto"/>
          <w:kern w:val="0"/>
          <w:sz w:val="21"/>
          <w:szCs w:val="21"/>
          <w:highlight w:val="none"/>
          <w:u w:val="single"/>
        </w:rPr>
      </w:pPr>
      <w:r>
        <w:rPr>
          <w:rFonts w:ascii="宋体" w:hAnsi="宋体" w:cs="宋体"/>
          <w:color w:val="auto"/>
          <w:kern w:val="0"/>
          <w:sz w:val="21"/>
          <w:szCs w:val="21"/>
          <w:highlight w:val="none"/>
        </w:rPr>
        <w:t>响应人代表（签字或名章）：</w:t>
      </w:r>
    </w:p>
    <w:p w14:paraId="1582DD9B">
      <w:pPr>
        <w:spacing w:line="400" w:lineRule="exact"/>
        <w:ind w:firstLine="840" w:firstLineChars="400"/>
        <w:rPr>
          <w:rFonts w:ascii="宋体" w:hAnsi="宋体" w:cs="宋体"/>
          <w:color w:val="auto"/>
          <w:kern w:val="0"/>
          <w:sz w:val="21"/>
          <w:szCs w:val="21"/>
          <w:highlight w:val="none"/>
        </w:rPr>
      </w:pPr>
      <w:r>
        <w:rPr>
          <w:rFonts w:ascii="宋体" w:hAnsi="宋体" w:cs="宋体"/>
          <w:color w:val="auto"/>
          <w:kern w:val="0"/>
          <w:sz w:val="21"/>
          <w:szCs w:val="21"/>
          <w:highlight w:val="none"/>
        </w:rPr>
        <w:t>法定代表人（签字或名章）：</w:t>
      </w:r>
    </w:p>
    <w:p w14:paraId="43BFFEA8">
      <w:pPr>
        <w:spacing w:line="400" w:lineRule="exact"/>
        <w:ind w:firstLine="840" w:firstLineChars="400"/>
        <w:rPr>
          <w:rFonts w:ascii="宋体" w:hAnsi="宋体" w:cs="宋体"/>
          <w:color w:val="auto"/>
          <w:kern w:val="0"/>
          <w:sz w:val="21"/>
          <w:szCs w:val="21"/>
          <w:highlight w:val="none"/>
          <w:u w:val="single"/>
        </w:rPr>
      </w:pPr>
      <w:r>
        <w:rPr>
          <w:rFonts w:ascii="宋体" w:hAnsi="宋体" w:cs="宋体"/>
          <w:color w:val="auto"/>
          <w:kern w:val="0"/>
          <w:sz w:val="21"/>
          <w:szCs w:val="21"/>
          <w:highlight w:val="none"/>
        </w:rPr>
        <w:t>响应人名称（加盖公章）：</w:t>
      </w:r>
    </w:p>
    <w:p w14:paraId="4B42D1BD">
      <w:pPr>
        <w:spacing w:line="400" w:lineRule="exact"/>
        <w:ind w:firstLine="840" w:firstLineChars="400"/>
        <w:rPr>
          <w:rFonts w:ascii="宋体" w:hAnsi="宋体" w:cs="宋体"/>
          <w:color w:val="auto"/>
          <w:kern w:val="0"/>
          <w:sz w:val="21"/>
          <w:szCs w:val="21"/>
          <w:highlight w:val="none"/>
          <w:u w:val="single"/>
        </w:rPr>
      </w:pPr>
      <w:r>
        <w:rPr>
          <w:rFonts w:ascii="宋体" w:hAnsi="宋体" w:cs="宋体"/>
          <w:color w:val="auto"/>
          <w:kern w:val="0"/>
          <w:sz w:val="21"/>
          <w:szCs w:val="21"/>
          <w:highlight w:val="none"/>
        </w:rPr>
        <w:t>日期：</w:t>
      </w:r>
      <w:r>
        <w:rPr>
          <w:rFonts w:ascii="宋体" w:hAnsi="宋体" w:cs="宋体"/>
          <w:color w:val="auto"/>
          <w:kern w:val="0"/>
          <w:sz w:val="21"/>
          <w:szCs w:val="21"/>
          <w:highlight w:val="none"/>
          <w:u w:val="single"/>
        </w:rPr>
        <w:t xml:space="preserve"> 年  月  日</w:t>
      </w:r>
    </w:p>
    <w:p w14:paraId="37884016">
      <w:pPr>
        <w:rPr>
          <w:rFonts w:hint="eastAsia" w:ascii="宋体" w:hAnsi="宋体" w:cs="宋体"/>
          <w:bCs/>
          <w:color w:val="auto"/>
          <w:kern w:val="0"/>
          <w:sz w:val="21"/>
          <w:szCs w:val="21"/>
          <w:highlight w:val="none"/>
        </w:rPr>
      </w:pPr>
      <w:r>
        <w:rPr>
          <w:rFonts w:hint="eastAsia" w:ascii="宋体" w:hAnsi="宋体" w:cs="宋体"/>
          <w:bCs/>
          <w:color w:val="auto"/>
          <w:kern w:val="0"/>
          <w:sz w:val="21"/>
          <w:szCs w:val="21"/>
          <w:highlight w:val="none"/>
        </w:rPr>
        <w:br w:type="page"/>
      </w:r>
    </w:p>
    <w:p w14:paraId="15768F1A">
      <w:pPr>
        <w:spacing w:line="400" w:lineRule="exact"/>
        <w:outlineLvl w:val="0"/>
        <w:rPr>
          <w:rFonts w:ascii="宋体" w:hAnsi="宋体" w:cs="宋体"/>
          <w:color w:val="auto"/>
          <w:kern w:val="0"/>
          <w:sz w:val="21"/>
          <w:szCs w:val="21"/>
          <w:highlight w:val="none"/>
        </w:rPr>
      </w:pPr>
      <w:r>
        <w:rPr>
          <w:rFonts w:hint="eastAsia" w:ascii="宋体" w:hAnsi="宋体" w:cs="宋体"/>
          <w:bCs/>
          <w:color w:val="auto"/>
          <w:kern w:val="0"/>
          <w:sz w:val="21"/>
          <w:szCs w:val="21"/>
          <w:highlight w:val="none"/>
        </w:rPr>
        <w:t>附件二：</w:t>
      </w:r>
    </w:p>
    <w:p w14:paraId="488E1C74">
      <w:pPr>
        <w:adjustRightInd w:val="0"/>
        <w:spacing w:before="240" w:after="60" w:line="400" w:lineRule="exact"/>
        <w:jc w:val="center"/>
        <w:textAlignment w:val="baseline"/>
        <w:outlineLvl w:val="0"/>
        <w:rPr>
          <w:rFonts w:ascii="宋体" w:hAnsi="宋体" w:cs="宋体"/>
          <w:b/>
          <w:color w:val="auto"/>
          <w:sz w:val="21"/>
          <w:szCs w:val="21"/>
          <w:highlight w:val="none"/>
        </w:rPr>
      </w:pPr>
      <w:r>
        <w:rPr>
          <w:rFonts w:hint="eastAsia" w:ascii="宋体" w:hAnsi="宋体" w:cs="宋体"/>
          <w:b/>
          <w:color w:val="auto"/>
          <w:sz w:val="21"/>
          <w:szCs w:val="21"/>
          <w:highlight w:val="none"/>
        </w:rPr>
        <w:t>法定代表人资格证明书</w:t>
      </w:r>
    </w:p>
    <w:p w14:paraId="50F51B06">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响应人名称：　　　　　　　　　　　　</w:t>
      </w:r>
    </w:p>
    <w:p w14:paraId="37668E7C">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单位性质：　　　　　　　　　　　　　</w:t>
      </w:r>
    </w:p>
    <w:p w14:paraId="42C4C35F">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地址：　　　　　　　　　　　　　　　</w:t>
      </w:r>
    </w:p>
    <w:p w14:paraId="77C905CD">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成立时间：</w:t>
      </w:r>
      <w:r>
        <w:rPr>
          <w:rFonts w:hint="eastAsia" w:ascii="宋体" w:hAnsi="宋体" w:cs="宋体"/>
          <w:color w:val="auto"/>
          <w:sz w:val="21"/>
          <w:szCs w:val="21"/>
          <w:highlight w:val="none"/>
          <w:u w:val="single"/>
        </w:rPr>
        <w:t>　　　　　　</w:t>
      </w:r>
      <w:r>
        <w:rPr>
          <w:rFonts w:hint="eastAsia" w:ascii="宋体" w:hAnsi="宋体" w:cs="宋体"/>
          <w:color w:val="auto"/>
          <w:sz w:val="21"/>
          <w:szCs w:val="21"/>
          <w:highlight w:val="none"/>
        </w:rPr>
        <w:t>年</w:t>
      </w:r>
      <w:r>
        <w:rPr>
          <w:rFonts w:hint="eastAsia" w:ascii="宋体" w:hAnsi="宋体" w:cs="宋体"/>
          <w:color w:val="auto"/>
          <w:sz w:val="21"/>
          <w:szCs w:val="21"/>
          <w:highlight w:val="none"/>
          <w:u w:val="single"/>
        </w:rPr>
        <w:t>　　</w:t>
      </w:r>
      <w:r>
        <w:rPr>
          <w:rFonts w:hint="eastAsia" w:ascii="宋体" w:hAnsi="宋体" w:cs="宋体"/>
          <w:color w:val="auto"/>
          <w:sz w:val="21"/>
          <w:szCs w:val="21"/>
          <w:highlight w:val="none"/>
        </w:rPr>
        <w:t>月</w:t>
      </w:r>
      <w:r>
        <w:rPr>
          <w:rFonts w:hint="eastAsia" w:ascii="宋体" w:hAnsi="宋体" w:cs="宋体"/>
          <w:color w:val="auto"/>
          <w:sz w:val="21"/>
          <w:szCs w:val="21"/>
          <w:highlight w:val="none"/>
          <w:u w:val="single"/>
        </w:rPr>
        <w:t>　　</w:t>
      </w:r>
      <w:r>
        <w:rPr>
          <w:rFonts w:hint="eastAsia" w:ascii="宋体" w:hAnsi="宋体" w:cs="宋体"/>
          <w:color w:val="auto"/>
          <w:sz w:val="21"/>
          <w:szCs w:val="21"/>
          <w:highlight w:val="none"/>
        </w:rPr>
        <w:t>日</w:t>
      </w:r>
    </w:p>
    <w:p w14:paraId="273D73B3">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经营期限：</w:t>
      </w:r>
      <w:r>
        <w:rPr>
          <w:rFonts w:hint="eastAsia" w:ascii="宋体" w:hAnsi="宋体" w:cs="宋体"/>
          <w:color w:val="auto"/>
          <w:sz w:val="21"/>
          <w:szCs w:val="21"/>
          <w:highlight w:val="none"/>
          <w:u w:val="single"/>
        </w:rPr>
        <w:t>　　　　　　　　　　　　　</w:t>
      </w:r>
    </w:p>
    <w:p w14:paraId="17B74977">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姓名：</w:t>
      </w:r>
      <w:r>
        <w:rPr>
          <w:rFonts w:hint="eastAsia" w:ascii="宋体" w:hAnsi="宋体" w:cs="宋体"/>
          <w:color w:val="auto"/>
          <w:sz w:val="21"/>
          <w:szCs w:val="21"/>
          <w:highlight w:val="none"/>
          <w:u w:val="single"/>
        </w:rPr>
        <w:t>　　　</w:t>
      </w:r>
      <w:r>
        <w:rPr>
          <w:rFonts w:hint="eastAsia" w:ascii="宋体" w:hAnsi="宋体" w:cs="宋体"/>
          <w:color w:val="auto"/>
          <w:sz w:val="21"/>
          <w:szCs w:val="21"/>
          <w:highlight w:val="none"/>
        </w:rPr>
        <w:t>性别：</w:t>
      </w:r>
      <w:r>
        <w:rPr>
          <w:rFonts w:hint="eastAsia" w:ascii="宋体" w:hAnsi="宋体" w:cs="宋体"/>
          <w:color w:val="auto"/>
          <w:sz w:val="21"/>
          <w:szCs w:val="21"/>
          <w:highlight w:val="none"/>
          <w:u w:val="single"/>
        </w:rPr>
        <w:t>　　</w:t>
      </w:r>
      <w:r>
        <w:rPr>
          <w:rFonts w:hint="eastAsia" w:ascii="宋体" w:hAnsi="宋体" w:cs="宋体"/>
          <w:color w:val="auto"/>
          <w:sz w:val="21"/>
          <w:szCs w:val="21"/>
          <w:highlight w:val="none"/>
        </w:rPr>
        <w:t>年龄：</w:t>
      </w:r>
      <w:r>
        <w:rPr>
          <w:rFonts w:hint="eastAsia" w:ascii="宋体" w:hAnsi="宋体" w:cs="宋体"/>
          <w:color w:val="auto"/>
          <w:sz w:val="21"/>
          <w:szCs w:val="21"/>
          <w:highlight w:val="none"/>
          <w:u w:val="single"/>
        </w:rPr>
        <w:t>　　</w:t>
      </w:r>
      <w:r>
        <w:rPr>
          <w:rFonts w:hint="eastAsia" w:ascii="宋体" w:hAnsi="宋体" w:cs="宋体"/>
          <w:color w:val="auto"/>
          <w:sz w:val="21"/>
          <w:szCs w:val="21"/>
          <w:highlight w:val="none"/>
        </w:rPr>
        <w:t>身份证号码：</w:t>
      </w:r>
      <w:r>
        <w:rPr>
          <w:rFonts w:hint="eastAsia" w:ascii="宋体" w:hAnsi="宋体" w:cs="宋体"/>
          <w:color w:val="auto"/>
          <w:sz w:val="21"/>
          <w:szCs w:val="21"/>
          <w:highlight w:val="none"/>
          <w:u w:val="single"/>
        </w:rPr>
        <w:t>　　　　　　　　　　　　</w:t>
      </w:r>
      <w:r>
        <w:rPr>
          <w:rFonts w:hint="eastAsia" w:ascii="宋体" w:hAnsi="宋体" w:cs="宋体"/>
          <w:color w:val="auto"/>
          <w:sz w:val="21"/>
          <w:szCs w:val="21"/>
          <w:highlight w:val="none"/>
        </w:rPr>
        <w:t>　</w:t>
      </w:r>
    </w:p>
    <w:p w14:paraId="7B5715E8">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职务：</w:t>
      </w:r>
      <w:r>
        <w:rPr>
          <w:rFonts w:hint="eastAsia" w:ascii="宋体" w:hAnsi="宋体" w:cs="宋体"/>
          <w:color w:val="auto"/>
          <w:sz w:val="21"/>
          <w:szCs w:val="21"/>
          <w:highlight w:val="none"/>
          <w:u w:val="single"/>
        </w:rPr>
        <w:t>　　　　　　　　</w:t>
      </w:r>
      <w:r>
        <w:rPr>
          <w:rFonts w:hint="eastAsia" w:ascii="宋体" w:hAnsi="宋体" w:cs="宋体"/>
          <w:color w:val="auto"/>
          <w:sz w:val="21"/>
          <w:szCs w:val="21"/>
          <w:highlight w:val="none"/>
        </w:rPr>
        <w:t>系</w:t>
      </w:r>
      <w:r>
        <w:rPr>
          <w:rFonts w:hint="eastAsia" w:ascii="宋体" w:hAnsi="宋体" w:cs="宋体"/>
          <w:color w:val="auto"/>
          <w:sz w:val="21"/>
          <w:szCs w:val="21"/>
          <w:highlight w:val="none"/>
          <w:u w:val="single"/>
        </w:rPr>
        <w:t>　　　　　　　（</w:t>
      </w:r>
      <w:r>
        <w:rPr>
          <w:rFonts w:hint="eastAsia" w:ascii="宋体" w:hAnsi="宋体" w:cs="宋体"/>
          <w:color w:val="auto"/>
          <w:sz w:val="21"/>
          <w:szCs w:val="21"/>
          <w:highlight w:val="none"/>
        </w:rPr>
        <w:t>响应人名称)的法定代表人。</w:t>
      </w:r>
    </w:p>
    <w:p w14:paraId="23057EAC">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　　特此证明。</w:t>
      </w:r>
    </w:p>
    <w:p w14:paraId="2FCE976F">
      <w:pPr>
        <w:spacing w:line="400" w:lineRule="exact"/>
        <w:jc w:val="left"/>
        <w:rPr>
          <w:rFonts w:ascii="宋体" w:hAnsi="宋体" w:cs="宋体"/>
          <w:color w:val="auto"/>
          <w:sz w:val="21"/>
          <w:szCs w:val="21"/>
          <w:highlight w:val="none"/>
        </w:rPr>
      </w:pPr>
      <w:r>
        <w:rPr>
          <w:rFonts w:hint="eastAsia" w:ascii="宋体" w:hAnsi="宋体" w:cs="宋体"/>
          <w:color w:val="auto"/>
          <w:sz w:val="21"/>
          <w:szCs w:val="21"/>
          <w:highlight w:val="none"/>
        </w:rPr>
        <w:t>　　</w:t>
      </w:r>
      <w:r>
        <w:rPr>
          <w:rFonts w:hint="eastAsia" w:ascii="宋体" w:hAnsi="宋体" w:cs="宋体"/>
          <w:bCs/>
          <w:color w:val="auto"/>
          <w:sz w:val="21"/>
          <w:szCs w:val="21"/>
          <w:highlight w:val="none"/>
        </w:rPr>
        <w:t>响应人名称（加盖公章）：</w:t>
      </w:r>
    </w:p>
    <w:p w14:paraId="5D50C57D">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　　</w:t>
      </w:r>
      <w:r>
        <w:rPr>
          <w:rFonts w:hint="eastAsia" w:ascii="宋体" w:hAnsi="宋体" w:cs="宋体"/>
          <w:color w:val="auto"/>
          <w:sz w:val="21"/>
          <w:szCs w:val="21"/>
          <w:highlight w:val="none"/>
          <w:u w:val="single"/>
        </w:rPr>
        <w:t>　　　</w:t>
      </w:r>
      <w:r>
        <w:rPr>
          <w:rFonts w:hint="eastAsia" w:ascii="宋体" w:hAnsi="宋体" w:cs="宋体"/>
          <w:color w:val="auto"/>
          <w:sz w:val="21"/>
          <w:szCs w:val="21"/>
          <w:highlight w:val="none"/>
        </w:rPr>
        <w:t>年</w:t>
      </w:r>
      <w:r>
        <w:rPr>
          <w:rFonts w:hint="eastAsia" w:ascii="宋体" w:hAnsi="宋体" w:cs="宋体"/>
          <w:color w:val="auto"/>
          <w:sz w:val="21"/>
          <w:szCs w:val="21"/>
          <w:highlight w:val="none"/>
          <w:u w:val="single"/>
        </w:rPr>
        <w:t>　　</w:t>
      </w:r>
      <w:r>
        <w:rPr>
          <w:rFonts w:hint="eastAsia" w:ascii="宋体" w:hAnsi="宋体" w:cs="宋体"/>
          <w:color w:val="auto"/>
          <w:sz w:val="21"/>
          <w:szCs w:val="21"/>
          <w:highlight w:val="none"/>
        </w:rPr>
        <w:t>月</w:t>
      </w:r>
      <w:r>
        <w:rPr>
          <w:rFonts w:hint="eastAsia" w:ascii="宋体" w:hAnsi="宋体" w:cs="宋体"/>
          <w:color w:val="auto"/>
          <w:sz w:val="21"/>
          <w:szCs w:val="21"/>
          <w:highlight w:val="none"/>
          <w:u w:val="single"/>
        </w:rPr>
        <w:t>　　</w:t>
      </w:r>
      <w:r>
        <w:rPr>
          <w:rFonts w:hint="eastAsia" w:ascii="宋体" w:hAnsi="宋体" w:cs="宋体"/>
          <w:color w:val="auto"/>
          <w:sz w:val="21"/>
          <w:szCs w:val="21"/>
          <w:highlight w:val="none"/>
        </w:rPr>
        <w:t>日</w:t>
      </w:r>
    </w:p>
    <w:p w14:paraId="447B5ADA">
      <w:pPr>
        <w:snapToGrid w:val="0"/>
        <w:spacing w:line="400" w:lineRule="exact"/>
        <w:rPr>
          <w:rFonts w:ascii="宋体" w:hAnsi="宋体" w:cs="宋体"/>
          <w:color w:val="auto"/>
          <w:sz w:val="21"/>
          <w:szCs w:val="21"/>
          <w:highlight w:val="none"/>
        </w:rPr>
      </w:pPr>
    </w:p>
    <w:p w14:paraId="3F7C4DEF">
      <w:pPr>
        <w:snapToGrid w:val="0"/>
        <w:spacing w:line="400" w:lineRule="exact"/>
        <w:rPr>
          <w:rFonts w:ascii="宋体" w:hAnsi="宋体" w:cs="宋体"/>
          <w:color w:val="auto"/>
          <w:sz w:val="21"/>
          <w:szCs w:val="21"/>
          <w:highlight w:val="none"/>
        </w:rPr>
      </w:pPr>
    </w:p>
    <w:p w14:paraId="5CB8D2C1">
      <w:pPr>
        <w:snapToGrid w:val="0"/>
        <w:spacing w:line="400" w:lineRule="exact"/>
        <w:rPr>
          <w:rFonts w:ascii="宋体" w:hAnsi="宋体" w:cs="宋体"/>
          <w:color w:val="auto"/>
          <w:sz w:val="21"/>
          <w:szCs w:val="21"/>
          <w:highlight w:val="none"/>
        </w:rPr>
      </w:pPr>
    </w:p>
    <w:p w14:paraId="7B8DCC72">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法定代表人身份证（复印件）</w:t>
      </w:r>
    </w:p>
    <w:tbl>
      <w:tblPr>
        <w:tblStyle w:val="2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0"/>
        <w:gridCol w:w="4530"/>
      </w:tblGrid>
      <w:tr w14:paraId="44F80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8" w:hRule="atLeast"/>
        </w:trPr>
        <w:tc>
          <w:tcPr>
            <w:tcW w:w="4530" w:type="dxa"/>
            <w:vAlign w:val="center"/>
          </w:tcPr>
          <w:p w14:paraId="503758FA">
            <w:pPr>
              <w:keepNext/>
              <w:keepLines/>
              <w:spacing w:before="260" w:after="260" w:line="400" w:lineRule="exact"/>
              <w:ind w:firstLine="1265" w:firstLineChars="600"/>
              <w:outlineLvl w:val="2"/>
              <w:rPr>
                <w:rFonts w:ascii="宋体" w:hAnsi="宋体" w:cs="宋体"/>
                <w:b/>
                <w:bCs/>
                <w:color w:val="auto"/>
                <w:sz w:val="21"/>
                <w:szCs w:val="21"/>
                <w:highlight w:val="none"/>
              </w:rPr>
            </w:pPr>
            <w:r>
              <w:rPr>
                <w:rFonts w:hint="eastAsia" w:ascii="宋体" w:hAnsi="宋体" w:cs="宋体"/>
                <w:b/>
                <w:bCs/>
                <w:color w:val="auto"/>
                <w:sz w:val="21"/>
                <w:szCs w:val="21"/>
                <w:highlight w:val="none"/>
              </w:rPr>
              <w:t>身份证正面</w:t>
            </w:r>
          </w:p>
          <w:p w14:paraId="148DCD7D">
            <w:pPr>
              <w:spacing w:line="400" w:lineRule="exact"/>
              <w:jc w:val="center"/>
              <w:rPr>
                <w:rFonts w:ascii="宋体" w:hAnsi="宋体" w:cs="宋体"/>
                <w:color w:val="auto"/>
                <w:sz w:val="21"/>
                <w:szCs w:val="21"/>
                <w:highlight w:val="none"/>
              </w:rPr>
            </w:pPr>
          </w:p>
          <w:p w14:paraId="305FC2DC">
            <w:pPr>
              <w:keepNext/>
              <w:keepLines/>
              <w:spacing w:before="260" w:after="260" w:line="400" w:lineRule="exact"/>
              <w:jc w:val="center"/>
              <w:outlineLvl w:val="2"/>
              <w:rPr>
                <w:rFonts w:ascii="宋体" w:hAnsi="宋体" w:cs="宋体"/>
                <w:b/>
                <w:bCs/>
                <w:color w:val="auto"/>
                <w:sz w:val="21"/>
                <w:szCs w:val="21"/>
                <w:highlight w:val="none"/>
              </w:rPr>
            </w:pPr>
          </w:p>
        </w:tc>
        <w:tc>
          <w:tcPr>
            <w:tcW w:w="4530" w:type="dxa"/>
          </w:tcPr>
          <w:p w14:paraId="691C3E2F">
            <w:pPr>
              <w:keepNext/>
              <w:keepLines/>
              <w:spacing w:before="260" w:after="260" w:line="400" w:lineRule="exact"/>
              <w:ind w:firstLine="1687" w:firstLineChars="800"/>
              <w:outlineLvl w:val="2"/>
              <w:rPr>
                <w:rFonts w:ascii="宋体" w:hAnsi="宋体" w:cs="宋体"/>
                <w:b/>
                <w:bCs/>
                <w:color w:val="auto"/>
                <w:sz w:val="21"/>
                <w:szCs w:val="21"/>
                <w:highlight w:val="none"/>
              </w:rPr>
            </w:pPr>
            <w:r>
              <w:rPr>
                <w:rFonts w:hint="eastAsia" w:ascii="宋体" w:hAnsi="宋体" w:cs="宋体"/>
                <w:b/>
                <w:bCs/>
                <w:color w:val="auto"/>
                <w:sz w:val="21"/>
                <w:szCs w:val="21"/>
                <w:highlight w:val="none"/>
              </w:rPr>
              <w:t>身份证反面</w:t>
            </w:r>
          </w:p>
          <w:p w14:paraId="2054D39A">
            <w:pPr>
              <w:keepNext/>
              <w:keepLines/>
              <w:spacing w:before="260" w:after="260" w:line="400" w:lineRule="exact"/>
              <w:outlineLvl w:val="2"/>
              <w:rPr>
                <w:rFonts w:ascii="宋体" w:hAnsi="宋体" w:cs="宋体"/>
                <w:b/>
                <w:bCs/>
                <w:color w:val="auto"/>
                <w:sz w:val="21"/>
                <w:szCs w:val="21"/>
                <w:highlight w:val="none"/>
              </w:rPr>
            </w:pPr>
          </w:p>
        </w:tc>
      </w:tr>
    </w:tbl>
    <w:p w14:paraId="5BCEBDD7">
      <w:pPr>
        <w:spacing w:line="400" w:lineRule="exact"/>
        <w:rPr>
          <w:rFonts w:ascii="宋体" w:hAnsi="宋体" w:cs="宋体"/>
          <w:b/>
          <w:color w:val="auto"/>
          <w:sz w:val="21"/>
          <w:szCs w:val="21"/>
          <w:highlight w:val="none"/>
        </w:rPr>
      </w:pPr>
    </w:p>
    <w:p w14:paraId="717EC9EB">
      <w:pPr>
        <w:spacing w:line="400" w:lineRule="exact"/>
        <w:rPr>
          <w:rFonts w:ascii="宋体" w:hAnsi="宋体" w:cs="宋体"/>
          <w:b/>
          <w:color w:val="auto"/>
          <w:sz w:val="21"/>
          <w:szCs w:val="21"/>
          <w:highlight w:val="none"/>
        </w:rPr>
      </w:pPr>
    </w:p>
    <w:p w14:paraId="1D1DC7BA">
      <w:pPr>
        <w:spacing w:line="400" w:lineRule="exact"/>
        <w:rPr>
          <w:rFonts w:ascii="宋体" w:hAnsi="宋体" w:cs="宋体"/>
          <w:b/>
          <w:color w:val="auto"/>
          <w:sz w:val="21"/>
          <w:szCs w:val="21"/>
          <w:highlight w:val="none"/>
        </w:rPr>
      </w:pPr>
    </w:p>
    <w:p w14:paraId="3D578A13">
      <w:pPr>
        <w:spacing w:line="400" w:lineRule="exact"/>
        <w:rPr>
          <w:rFonts w:ascii="宋体" w:hAnsi="宋体" w:cs="宋体"/>
          <w:b/>
          <w:color w:val="auto"/>
          <w:sz w:val="21"/>
          <w:szCs w:val="21"/>
          <w:highlight w:val="none"/>
        </w:rPr>
      </w:pPr>
    </w:p>
    <w:p w14:paraId="40F8009B">
      <w:pPr>
        <w:spacing w:line="400" w:lineRule="exact"/>
        <w:rPr>
          <w:rFonts w:ascii="宋体" w:hAnsi="宋体" w:cs="宋体"/>
          <w:b/>
          <w:color w:val="auto"/>
          <w:sz w:val="21"/>
          <w:szCs w:val="21"/>
          <w:highlight w:val="none"/>
        </w:rPr>
      </w:pPr>
    </w:p>
    <w:p w14:paraId="19662459">
      <w:pPr>
        <w:spacing w:line="400" w:lineRule="exact"/>
        <w:rPr>
          <w:rFonts w:ascii="宋体" w:hAnsi="宋体" w:cs="宋体"/>
          <w:b/>
          <w:color w:val="auto"/>
          <w:sz w:val="21"/>
          <w:szCs w:val="21"/>
          <w:highlight w:val="none"/>
        </w:rPr>
      </w:pPr>
    </w:p>
    <w:p w14:paraId="7B9138D9">
      <w:pPr>
        <w:spacing w:line="400" w:lineRule="exact"/>
        <w:rPr>
          <w:rFonts w:ascii="宋体" w:hAnsi="宋体" w:cs="宋体"/>
          <w:b/>
          <w:color w:val="auto"/>
          <w:sz w:val="21"/>
          <w:szCs w:val="21"/>
          <w:highlight w:val="none"/>
        </w:rPr>
      </w:pPr>
    </w:p>
    <w:p w14:paraId="0A47A1B9">
      <w:pPr>
        <w:spacing w:line="400" w:lineRule="exact"/>
        <w:rPr>
          <w:rFonts w:ascii="宋体" w:hAnsi="宋体" w:cs="宋体"/>
          <w:b/>
          <w:color w:val="auto"/>
          <w:sz w:val="21"/>
          <w:szCs w:val="21"/>
          <w:highlight w:val="none"/>
        </w:rPr>
      </w:pPr>
    </w:p>
    <w:p w14:paraId="4B013CBA">
      <w:pPr>
        <w:spacing w:line="400" w:lineRule="exact"/>
        <w:rPr>
          <w:rFonts w:ascii="宋体" w:hAnsi="宋体" w:cs="宋体"/>
          <w:b/>
          <w:color w:val="auto"/>
          <w:sz w:val="21"/>
          <w:szCs w:val="21"/>
          <w:highlight w:val="none"/>
        </w:rPr>
      </w:pPr>
    </w:p>
    <w:p w14:paraId="7CD39431">
      <w:pPr>
        <w:spacing w:line="400" w:lineRule="exact"/>
        <w:rPr>
          <w:rFonts w:ascii="宋体" w:hAnsi="宋体" w:cs="宋体"/>
          <w:b/>
          <w:color w:val="auto"/>
          <w:sz w:val="21"/>
          <w:szCs w:val="21"/>
          <w:highlight w:val="none"/>
        </w:rPr>
      </w:pPr>
    </w:p>
    <w:p w14:paraId="29458FDD">
      <w:pPr>
        <w:outlineLvl w:val="0"/>
        <w:rPr>
          <w:rFonts w:ascii="宋体" w:hAnsi="宋体" w:cs="宋体"/>
          <w:bCs/>
          <w:color w:val="auto"/>
          <w:sz w:val="21"/>
          <w:szCs w:val="21"/>
          <w:highlight w:val="none"/>
        </w:rPr>
      </w:pPr>
      <w:r>
        <w:rPr>
          <w:rFonts w:hint="eastAsia" w:ascii="宋体" w:hAnsi="宋体" w:cs="宋体"/>
          <w:bCs/>
          <w:color w:val="auto"/>
          <w:sz w:val="21"/>
          <w:szCs w:val="21"/>
          <w:highlight w:val="none"/>
        </w:rPr>
        <w:br w:type="page"/>
      </w:r>
      <w:r>
        <w:rPr>
          <w:rFonts w:hint="eastAsia" w:ascii="宋体" w:hAnsi="宋体" w:cs="宋体"/>
          <w:bCs/>
          <w:color w:val="auto"/>
          <w:sz w:val="21"/>
          <w:szCs w:val="21"/>
          <w:highlight w:val="none"/>
        </w:rPr>
        <w:t>附件三：</w:t>
      </w:r>
    </w:p>
    <w:p w14:paraId="63CFB4E9">
      <w:pPr>
        <w:spacing w:line="400" w:lineRule="exact"/>
        <w:jc w:val="center"/>
        <w:rPr>
          <w:rFonts w:ascii="宋体" w:hAnsi="宋体" w:cs="宋体"/>
          <w:b/>
          <w:color w:val="auto"/>
          <w:sz w:val="21"/>
          <w:szCs w:val="21"/>
          <w:highlight w:val="none"/>
        </w:rPr>
      </w:pPr>
    </w:p>
    <w:p w14:paraId="73B7169E">
      <w:pPr>
        <w:spacing w:line="400" w:lineRule="exact"/>
        <w:jc w:val="center"/>
        <w:outlineLvl w:val="0"/>
        <w:rPr>
          <w:rFonts w:ascii="宋体" w:hAnsi="宋体" w:cs="宋体"/>
          <w:b/>
          <w:color w:val="auto"/>
          <w:sz w:val="21"/>
          <w:szCs w:val="21"/>
          <w:highlight w:val="none"/>
        </w:rPr>
      </w:pPr>
      <w:r>
        <w:rPr>
          <w:rFonts w:hint="eastAsia" w:ascii="宋体" w:hAnsi="宋体" w:cs="宋体"/>
          <w:b/>
          <w:color w:val="auto"/>
          <w:sz w:val="21"/>
          <w:szCs w:val="21"/>
          <w:highlight w:val="none"/>
        </w:rPr>
        <w:t>法定代表人授权委托书</w:t>
      </w:r>
    </w:p>
    <w:p w14:paraId="4C2F11B4">
      <w:pPr>
        <w:snapToGrid w:val="0"/>
        <w:spacing w:line="400" w:lineRule="exact"/>
        <w:ind w:firstLine="420" w:firstLineChars="200"/>
        <w:rPr>
          <w:rFonts w:ascii="宋体" w:hAnsi="宋体" w:cs="宋体"/>
          <w:color w:val="auto"/>
          <w:sz w:val="21"/>
          <w:szCs w:val="21"/>
          <w:highlight w:val="none"/>
        </w:rPr>
      </w:pPr>
    </w:p>
    <w:p w14:paraId="38D1DDDE">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本授权委托书声明：注册于</w:t>
      </w:r>
      <w:r>
        <w:rPr>
          <w:rFonts w:hint="eastAsia" w:ascii="宋体" w:hAnsi="宋体" w:cs="宋体"/>
          <w:color w:val="auto"/>
          <w:sz w:val="21"/>
          <w:szCs w:val="21"/>
          <w:highlight w:val="none"/>
          <w:u w:val="single"/>
        </w:rPr>
        <w:t xml:space="preserve"> </w:t>
      </w:r>
      <w:r>
        <w:rPr>
          <w:rFonts w:ascii="宋体" w:hAnsi="宋体" w:cs="宋体"/>
          <w:color w:val="auto"/>
          <w:sz w:val="21"/>
          <w:szCs w:val="21"/>
          <w:highlight w:val="none"/>
          <w:u w:val="single"/>
        </w:rPr>
        <w:t xml:space="preserve">           </w:t>
      </w:r>
      <w:r>
        <w:rPr>
          <w:rFonts w:hint="eastAsia" w:ascii="宋体" w:hAnsi="宋体" w:cs="宋体"/>
          <w:color w:val="auto"/>
          <w:sz w:val="21"/>
          <w:szCs w:val="21"/>
          <w:highlight w:val="none"/>
          <w:u w:val="single"/>
        </w:rPr>
        <w:t>（响应人住址）</w:t>
      </w:r>
      <w:r>
        <w:rPr>
          <w:rFonts w:hint="eastAsia" w:ascii="宋体" w:hAnsi="宋体" w:cs="宋体"/>
          <w:color w:val="auto"/>
          <w:sz w:val="21"/>
          <w:szCs w:val="21"/>
          <w:highlight w:val="none"/>
        </w:rPr>
        <w:t>的</w:t>
      </w:r>
      <w:r>
        <w:rPr>
          <w:rFonts w:hint="eastAsia" w:ascii="宋体" w:hAnsi="宋体" w:cs="宋体"/>
          <w:color w:val="auto"/>
          <w:sz w:val="21"/>
          <w:szCs w:val="21"/>
          <w:highlight w:val="none"/>
          <w:u w:val="single"/>
        </w:rPr>
        <w:t xml:space="preserve"> </w:t>
      </w:r>
      <w:r>
        <w:rPr>
          <w:rFonts w:ascii="宋体" w:hAnsi="宋体" w:cs="宋体"/>
          <w:color w:val="auto"/>
          <w:sz w:val="21"/>
          <w:szCs w:val="21"/>
          <w:highlight w:val="none"/>
          <w:u w:val="single"/>
        </w:rPr>
        <w:t xml:space="preserve">            </w:t>
      </w:r>
      <w:r>
        <w:rPr>
          <w:rFonts w:hint="eastAsia" w:ascii="宋体" w:hAnsi="宋体" w:cs="宋体"/>
          <w:color w:val="auto"/>
          <w:sz w:val="21"/>
          <w:szCs w:val="21"/>
          <w:highlight w:val="none"/>
          <w:u w:val="single"/>
        </w:rPr>
        <w:t>（响应人名称）</w:t>
      </w:r>
      <w:r>
        <w:rPr>
          <w:rFonts w:hint="eastAsia" w:ascii="宋体" w:hAnsi="宋体" w:cs="宋体"/>
          <w:color w:val="auto"/>
          <w:sz w:val="21"/>
          <w:szCs w:val="21"/>
          <w:highlight w:val="none"/>
        </w:rPr>
        <w:t>法定代表人</w:t>
      </w:r>
      <w:r>
        <w:rPr>
          <w:rFonts w:hint="eastAsia" w:ascii="宋体" w:hAnsi="宋体" w:cs="宋体"/>
          <w:color w:val="auto"/>
          <w:sz w:val="21"/>
          <w:szCs w:val="21"/>
          <w:highlight w:val="none"/>
          <w:u w:val="single"/>
        </w:rPr>
        <w:t xml:space="preserve"> </w:t>
      </w:r>
      <w:r>
        <w:rPr>
          <w:rFonts w:ascii="宋体" w:hAnsi="宋体" w:cs="宋体"/>
          <w:color w:val="auto"/>
          <w:sz w:val="21"/>
          <w:szCs w:val="21"/>
          <w:highlight w:val="none"/>
          <w:u w:val="single"/>
        </w:rPr>
        <w:t xml:space="preserve">       </w:t>
      </w:r>
      <w:r>
        <w:rPr>
          <w:rFonts w:hint="eastAsia" w:ascii="宋体" w:hAnsi="宋体" w:cs="宋体"/>
          <w:color w:val="auto"/>
          <w:sz w:val="21"/>
          <w:szCs w:val="21"/>
          <w:highlight w:val="none"/>
          <w:u w:val="single"/>
        </w:rPr>
        <w:t>（法定代表人姓名、职务）</w:t>
      </w:r>
      <w:r>
        <w:rPr>
          <w:rFonts w:hint="eastAsia" w:ascii="宋体" w:hAnsi="宋体" w:cs="宋体"/>
          <w:color w:val="auto"/>
          <w:sz w:val="21"/>
          <w:szCs w:val="21"/>
          <w:highlight w:val="none"/>
        </w:rPr>
        <w:t>代表本公司授权在下面签字的</w:t>
      </w:r>
      <w:r>
        <w:rPr>
          <w:rFonts w:hint="eastAsia" w:ascii="宋体" w:hAnsi="宋体" w:cs="宋体"/>
          <w:color w:val="auto"/>
          <w:sz w:val="21"/>
          <w:szCs w:val="21"/>
          <w:highlight w:val="none"/>
          <w:u w:val="single"/>
        </w:rPr>
        <w:t xml:space="preserve"> </w:t>
      </w:r>
      <w:r>
        <w:rPr>
          <w:rFonts w:ascii="宋体" w:hAnsi="宋体" w:cs="宋体"/>
          <w:color w:val="auto"/>
          <w:sz w:val="21"/>
          <w:szCs w:val="21"/>
          <w:highlight w:val="none"/>
          <w:u w:val="single"/>
        </w:rPr>
        <w:t xml:space="preserve">       </w:t>
      </w:r>
      <w:r>
        <w:rPr>
          <w:rFonts w:hint="eastAsia" w:ascii="宋体" w:hAnsi="宋体" w:cs="宋体"/>
          <w:color w:val="auto"/>
          <w:sz w:val="21"/>
          <w:szCs w:val="21"/>
          <w:highlight w:val="none"/>
          <w:u w:val="single"/>
        </w:rPr>
        <w:t>（响应人代表姓名、职务）</w:t>
      </w:r>
      <w:r>
        <w:rPr>
          <w:rFonts w:hint="eastAsia" w:ascii="宋体" w:hAnsi="宋体" w:cs="宋体"/>
          <w:color w:val="auto"/>
          <w:sz w:val="21"/>
          <w:szCs w:val="21"/>
          <w:highlight w:val="none"/>
        </w:rPr>
        <w:t>为本公司的合法代理人，就贵方组织的</w:t>
      </w:r>
      <w:r>
        <w:rPr>
          <w:rFonts w:ascii="宋体" w:hAnsi="宋体" w:cs="宋体"/>
          <w:color w:val="auto"/>
          <w:sz w:val="21"/>
          <w:szCs w:val="21"/>
          <w:highlight w:val="none"/>
          <w:u w:val="single"/>
        </w:rPr>
        <w:t xml:space="preserve">           </w:t>
      </w:r>
      <w:r>
        <w:rPr>
          <w:rFonts w:hint="eastAsia" w:ascii="宋体" w:hAnsi="宋体" w:cs="宋体"/>
          <w:color w:val="auto"/>
          <w:sz w:val="21"/>
          <w:szCs w:val="21"/>
          <w:highlight w:val="none"/>
          <w:u w:val="single"/>
        </w:rPr>
        <w:t>（项目名称）</w:t>
      </w:r>
      <w:r>
        <w:rPr>
          <w:rFonts w:hint="eastAsia" w:ascii="宋体" w:hAnsi="宋体" w:cs="宋体"/>
          <w:color w:val="auto"/>
          <w:sz w:val="21"/>
          <w:szCs w:val="21"/>
          <w:highlight w:val="none"/>
        </w:rPr>
        <w:t>，以本公司名义处理一切与之有关的事务。</w:t>
      </w:r>
    </w:p>
    <w:p w14:paraId="6C615AFF">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 xml:space="preserve">    本授权书于年月日签字生效，特此声明。</w:t>
      </w:r>
    </w:p>
    <w:p w14:paraId="0BC610C2">
      <w:pPr>
        <w:snapToGrid w:val="0"/>
        <w:spacing w:line="400" w:lineRule="exact"/>
        <w:rPr>
          <w:rFonts w:ascii="宋体" w:hAnsi="宋体" w:cs="宋体"/>
          <w:color w:val="auto"/>
          <w:sz w:val="21"/>
          <w:szCs w:val="21"/>
          <w:highlight w:val="none"/>
        </w:rPr>
      </w:pPr>
    </w:p>
    <w:p w14:paraId="6E788828">
      <w:pPr>
        <w:snapToGrid w:val="0"/>
        <w:spacing w:line="400" w:lineRule="exact"/>
        <w:rPr>
          <w:rFonts w:ascii="宋体" w:hAnsi="宋体" w:cs="宋体"/>
          <w:color w:val="auto"/>
          <w:sz w:val="21"/>
          <w:szCs w:val="21"/>
          <w:highlight w:val="none"/>
          <w:u w:val="single"/>
        </w:rPr>
      </w:pPr>
      <w:r>
        <w:rPr>
          <w:rFonts w:hint="eastAsia" w:ascii="宋体" w:hAnsi="宋体" w:cs="宋体"/>
          <w:color w:val="auto"/>
          <w:sz w:val="21"/>
          <w:szCs w:val="21"/>
          <w:highlight w:val="none"/>
        </w:rPr>
        <w:t>法定代表人签字或盖章：</w:t>
      </w:r>
    </w:p>
    <w:p w14:paraId="5F5BA264">
      <w:pPr>
        <w:snapToGrid w:val="0"/>
        <w:spacing w:line="400" w:lineRule="exact"/>
        <w:rPr>
          <w:rFonts w:ascii="宋体" w:hAnsi="宋体" w:cs="宋体"/>
          <w:color w:val="auto"/>
          <w:sz w:val="21"/>
          <w:szCs w:val="21"/>
          <w:highlight w:val="none"/>
          <w:u w:val="single"/>
        </w:rPr>
      </w:pPr>
      <w:r>
        <w:rPr>
          <w:rFonts w:hint="eastAsia" w:ascii="宋体" w:hAnsi="宋体" w:cs="宋体"/>
          <w:color w:val="auto"/>
          <w:sz w:val="21"/>
          <w:szCs w:val="21"/>
          <w:highlight w:val="none"/>
        </w:rPr>
        <w:t>日期：</w:t>
      </w:r>
    </w:p>
    <w:p w14:paraId="270DD5E6">
      <w:pPr>
        <w:snapToGrid w:val="0"/>
        <w:spacing w:line="400" w:lineRule="exact"/>
        <w:rPr>
          <w:rFonts w:ascii="宋体" w:hAnsi="宋体" w:cs="宋体"/>
          <w:color w:val="auto"/>
          <w:sz w:val="21"/>
          <w:szCs w:val="21"/>
          <w:highlight w:val="none"/>
          <w:u w:val="single"/>
        </w:rPr>
      </w:pPr>
      <w:r>
        <w:rPr>
          <w:rFonts w:hint="eastAsia" w:ascii="宋体" w:hAnsi="宋体" w:cs="宋体"/>
          <w:color w:val="auto"/>
          <w:sz w:val="21"/>
          <w:szCs w:val="21"/>
          <w:highlight w:val="none"/>
        </w:rPr>
        <w:t>联系电话：</w:t>
      </w:r>
    </w:p>
    <w:p w14:paraId="6F592127">
      <w:pPr>
        <w:snapToGrid w:val="0"/>
        <w:spacing w:line="400" w:lineRule="exact"/>
        <w:rPr>
          <w:rFonts w:ascii="宋体" w:hAnsi="宋体" w:cs="宋体"/>
          <w:color w:val="auto"/>
          <w:sz w:val="21"/>
          <w:szCs w:val="21"/>
          <w:highlight w:val="none"/>
          <w:u w:val="single"/>
        </w:rPr>
      </w:pPr>
      <w:r>
        <w:rPr>
          <w:rFonts w:hint="eastAsia" w:ascii="宋体" w:hAnsi="宋体" w:cs="宋体"/>
          <w:color w:val="auto"/>
          <w:sz w:val="21"/>
          <w:szCs w:val="21"/>
          <w:highlight w:val="none"/>
        </w:rPr>
        <w:t>身份证号码：</w:t>
      </w:r>
    </w:p>
    <w:p w14:paraId="12B2CE4A">
      <w:pPr>
        <w:snapToGrid w:val="0"/>
        <w:spacing w:line="400" w:lineRule="exact"/>
        <w:rPr>
          <w:rFonts w:ascii="宋体" w:hAnsi="宋体" w:cs="宋体"/>
          <w:color w:val="auto"/>
          <w:sz w:val="21"/>
          <w:szCs w:val="21"/>
          <w:highlight w:val="none"/>
        </w:rPr>
      </w:pPr>
    </w:p>
    <w:p w14:paraId="5C0CAD72">
      <w:pPr>
        <w:snapToGrid w:val="0"/>
        <w:spacing w:line="400" w:lineRule="exact"/>
        <w:rPr>
          <w:rFonts w:ascii="宋体" w:hAnsi="宋体" w:cs="宋体"/>
          <w:color w:val="auto"/>
          <w:sz w:val="21"/>
          <w:szCs w:val="21"/>
          <w:highlight w:val="none"/>
          <w:u w:val="single"/>
        </w:rPr>
      </w:pPr>
      <w:r>
        <w:rPr>
          <w:rFonts w:hint="eastAsia" w:ascii="宋体" w:hAnsi="宋体" w:cs="宋体"/>
          <w:color w:val="auto"/>
          <w:sz w:val="21"/>
          <w:szCs w:val="21"/>
          <w:highlight w:val="none"/>
        </w:rPr>
        <w:t>响应人代表签字或盖章：</w:t>
      </w:r>
    </w:p>
    <w:p w14:paraId="1C270154">
      <w:pPr>
        <w:snapToGrid w:val="0"/>
        <w:spacing w:line="400" w:lineRule="exact"/>
        <w:rPr>
          <w:rFonts w:ascii="宋体" w:hAnsi="宋体" w:cs="宋体"/>
          <w:color w:val="auto"/>
          <w:sz w:val="21"/>
          <w:szCs w:val="21"/>
          <w:highlight w:val="none"/>
          <w:u w:val="single"/>
        </w:rPr>
      </w:pPr>
      <w:r>
        <w:rPr>
          <w:rFonts w:hint="eastAsia" w:ascii="宋体" w:hAnsi="宋体" w:cs="宋体"/>
          <w:color w:val="auto"/>
          <w:sz w:val="21"/>
          <w:szCs w:val="21"/>
          <w:highlight w:val="none"/>
        </w:rPr>
        <w:t>日期：</w:t>
      </w:r>
    </w:p>
    <w:p w14:paraId="1E204FAB">
      <w:pPr>
        <w:snapToGrid w:val="0"/>
        <w:spacing w:line="400" w:lineRule="exact"/>
        <w:rPr>
          <w:rFonts w:ascii="宋体" w:hAnsi="宋体" w:cs="宋体"/>
          <w:color w:val="auto"/>
          <w:sz w:val="21"/>
          <w:szCs w:val="21"/>
          <w:highlight w:val="none"/>
          <w:u w:val="single"/>
        </w:rPr>
      </w:pPr>
      <w:r>
        <w:rPr>
          <w:rFonts w:hint="eastAsia" w:ascii="宋体" w:hAnsi="宋体" w:cs="宋体"/>
          <w:color w:val="auto"/>
          <w:sz w:val="21"/>
          <w:szCs w:val="21"/>
          <w:highlight w:val="none"/>
        </w:rPr>
        <w:t>联系电话：</w:t>
      </w:r>
    </w:p>
    <w:p w14:paraId="73181238">
      <w:pPr>
        <w:snapToGrid w:val="0"/>
        <w:spacing w:line="400" w:lineRule="exact"/>
        <w:rPr>
          <w:rFonts w:ascii="宋体" w:hAnsi="宋体" w:cs="宋体"/>
          <w:color w:val="auto"/>
          <w:sz w:val="21"/>
          <w:szCs w:val="21"/>
          <w:highlight w:val="none"/>
          <w:u w:val="single"/>
        </w:rPr>
      </w:pPr>
      <w:r>
        <w:rPr>
          <w:rFonts w:hint="eastAsia" w:ascii="宋体" w:hAnsi="宋体" w:cs="宋体"/>
          <w:color w:val="auto"/>
          <w:sz w:val="21"/>
          <w:szCs w:val="21"/>
          <w:highlight w:val="none"/>
        </w:rPr>
        <w:t>身份证号码：</w:t>
      </w:r>
    </w:p>
    <w:p w14:paraId="42F2A2A0">
      <w:pPr>
        <w:snapToGrid w:val="0"/>
        <w:spacing w:line="400" w:lineRule="exact"/>
        <w:rPr>
          <w:rFonts w:ascii="宋体" w:hAnsi="宋体" w:cs="宋体"/>
          <w:color w:val="auto"/>
          <w:sz w:val="21"/>
          <w:szCs w:val="21"/>
          <w:highlight w:val="none"/>
        </w:rPr>
      </w:pPr>
    </w:p>
    <w:p w14:paraId="60C6020A">
      <w:pPr>
        <w:snapToGrid w:val="0"/>
        <w:spacing w:line="400" w:lineRule="exact"/>
        <w:rPr>
          <w:rFonts w:ascii="宋体" w:hAnsi="宋体" w:cs="宋体"/>
          <w:color w:val="auto"/>
          <w:sz w:val="21"/>
          <w:szCs w:val="21"/>
          <w:highlight w:val="none"/>
          <w:u w:val="single"/>
        </w:rPr>
      </w:pPr>
      <w:r>
        <w:rPr>
          <w:rFonts w:hint="eastAsia" w:ascii="宋体" w:hAnsi="宋体" w:cs="宋体"/>
          <w:color w:val="auto"/>
          <w:sz w:val="21"/>
          <w:szCs w:val="21"/>
          <w:highlight w:val="none"/>
        </w:rPr>
        <w:t>响应人全称：</w:t>
      </w:r>
    </w:p>
    <w:p w14:paraId="31518FE6">
      <w:pPr>
        <w:snapToGrid w:val="0"/>
        <w:spacing w:line="400" w:lineRule="exact"/>
        <w:rPr>
          <w:rFonts w:ascii="宋体" w:hAnsi="宋体" w:cs="宋体"/>
          <w:color w:val="auto"/>
          <w:sz w:val="21"/>
          <w:szCs w:val="21"/>
          <w:highlight w:val="none"/>
          <w:u w:val="single"/>
        </w:rPr>
      </w:pPr>
      <w:r>
        <w:rPr>
          <w:rFonts w:hint="eastAsia" w:ascii="宋体" w:hAnsi="宋体" w:cs="宋体"/>
          <w:color w:val="auto"/>
          <w:sz w:val="21"/>
          <w:szCs w:val="21"/>
          <w:highlight w:val="none"/>
        </w:rPr>
        <w:t>响应人公章：</w:t>
      </w:r>
    </w:p>
    <w:p w14:paraId="482D77D7">
      <w:pPr>
        <w:snapToGrid w:val="0"/>
        <w:spacing w:line="400" w:lineRule="exact"/>
        <w:rPr>
          <w:rFonts w:ascii="宋体" w:hAnsi="宋体" w:cs="宋体"/>
          <w:color w:val="auto"/>
          <w:sz w:val="21"/>
          <w:szCs w:val="21"/>
          <w:highlight w:val="none"/>
        </w:rPr>
      </w:pPr>
    </w:p>
    <w:p w14:paraId="17DE812D">
      <w:pPr>
        <w:snapToGrid w:val="0"/>
        <w:spacing w:line="400" w:lineRule="exact"/>
        <w:rPr>
          <w:rFonts w:ascii="宋体" w:hAnsi="宋体" w:cs="宋体"/>
          <w:color w:val="auto"/>
          <w:sz w:val="21"/>
          <w:szCs w:val="21"/>
          <w:highlight w:val="none"/>
        </w:rPr>
      </w:pPr>
    </w:p>
    <w:p w14:paraId="21603083">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响应人代表身份证（复印件）</w:t>
      </w:r>
    </w:p>
    <w:tbl>
      <w:tblPr>
        <w:tblStyle w:val="2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0"/>
        <w:gridCol w:w="4530"/>
      </w:tblGrid>
      <w:tr w14:paraId="6EB27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8" w:hRule="atLeast"/>
        </w:trPr>
        <w:tc>
          <w:tcPr>
            <w:tcW w:w="4530" w:type="dxa"/>
            <w:vAlign w:val="center"/>
          </w:tcPr>
          <w:p w14:paraId="3F1B6296">
            <w:pPr>
              <w:keepNext/>
              <w:keepLines/>
              <w:spacing w:before="260" w:after="260" w:line="400" w:lineRule="exact"/>
              <w:jc w:val="center"/>
              <w:outlineLvl w:val="2"/>
              <w:rPr>
                <w:rFonts w:ascii="宋体" w:hAnsi="宋体" w:cs="宋体"/>
                <w:b/>
                <w:bCs/>
                <w:color w:val="auto"/>
                <w:sz w:val="21"/>
                <w:szCs w:val="21"/>
                <w:highlight w:val="none"/>
              </w:rPr>
            </w:pPr>
            <w:r>
              <w:rPr>
                <w:rFonts w:hint="eastAsia" w:ascii="宋体" w:hAnsi="宋体" w:cs="宋体"/>
                <w:b/>
                <w:bCs/>
                <w:color w:val="auto"/>
                <w:sz w:val="21"/>
                <w:szCs w:val="21"/>
                <w:highlight w:val="none"/>
              </w:rPr>
              <w:t>身份证正面</w:t>
            </w:r>
          </w:p>
        </w:tc>
        <w:tc>
          <w:tcPr>
            <w:tcW w:w="4530" w:type="dxa"/>
            <w:vAlign w:val="center"/>
          </w:tcPr>
          <w:p w14:paraId="2E5A54CB">
            <w:pPr>
              <w:keepNext/>
              <w:keepLines/>
              <w:spacing w:before="260" w:after="260" w:line="400" w:lineRule="exact"/>
              <w:jc w:val="center"/>
              <w:outlineLvl w:val="2"/>
              <w:rPr>
                <w:rFonts w:ascii="宋体" w:hAnsi="宋体" w:cs="宋体"/>
                <w:b/>
                <w:bCs/>
                <w:color w:val="auto"/>
                <w:sz w:val="21"/>
                <w:szCs w:val="21"/>
                <w:highlight w:val="none"/>
              </w:rPr>
            </w:pPr>
            <w:r>
              <w:rPr>
                <w:rFonts w:hint="eastAsia" w:ascii="宋体" w:hAnsi="宋体" w:cs="宋体"/>
                <w:b/>
                <w:bCs/>
                <w:color w:val="auto"/>
                <w:sz w:val="21"/>
                <w:szCs w:val="21"/>
                <w:highlight w:val="none"/>
              </w:rPr>
              <w:t>身份证反面</w:t>
            </w:r>
          </w:p>
        </w:tc>
      </w:tr>
    </w:tbl>
    <w:p w14:paraId="1A715758">
      <w:pPr>
        <w:snapToGrid w:val="0"/>
        <w:spacing w:line="400" w:lineRule="exact"/>
        <w:rPr>
          <w:rFonts w:ascii="宋体" w:hAnsi="宋体" w:cs="宋体"/>
          <w:b/>
          <w:bCs/>
          <w:color w:val="auto"/>
          <w:sz w:val="21"/>
          <w:szCs w:val="21"/>
          <w:highlight w:val="none"/>
        </w:rPr>
      </w:pPr>
    </w:p>
    <w:p w14:paraId="4EC45C2D">
      <w:pPr>
        <w:spacing w:line="400" w:lineRule="exact"/>
        <w:rPr>
          <w:rFonts w:ascii="宋体" w:hAnsi="宋体" w:cs="宋体"/>
          <w:b/>
          <w:color w:val="auto"/>
          <w:sz w:val="21"/>
          <w:szCs w:val="21"/>
          <w:highlight w:val="none"/>
          <w:u w:val="single"/>
        </w:rPr>
      </w:pPr>
    </w:p>
    <w:p w14:paraId="0966031B">
      <w:pPr>
        <w:rPr>
          <w:rFonts w:ascii="宋体" w:hAnsi="宋体" w:cs="宋体"/>
          <w:bCs/>
          <w:color w:val="auto"/>
          <w:sz w:val="21"/>
          <w:szCs w:val="21"/>
          <w:highlight w:val="none"/>
        </w:rPr>
      </w:pPr>
      <w:r>
        <w:rPr>
          <w:rFonts w:hint="eastAsia" w:ascii="宋体" w:hAnsi="宋体" w:cs="宋体"/>
          <w:bCs/>
          <w:color w:val="auto"/>
          <w:sz w:val="21"/>
          <w:szCs w:val="21"/>
          <w:highlight w:val="none"/>
        </w:rPr>
        <w:br w:type="page"/>
      </w:r>
    </w:p>
    <w:p w14:paraId="1C7F63C1">
      <w:pPr>
        <w:adjustRightInd w:val="0"/>
        <w:spacing w:before="240" w:after="60" w:line="400" w:lineRule="exact"/>
        <w:jc w:val="left"/>
        <w:textAlignment w:val="baseline"/>
        <w:outlineLvl w:val="0"/>
        <w:rPr>
          <w:rFonts w:ascii="宋体" w:hAnsi="宋体" w:cs="宋体"/>
          <w:bCs/>
          <w:color w:val="auto"/>
          <w:sz w:val="24"/>
          <w:szCs w:val="24"/>
          <w:highlight w:val="none"/>
        </w:rPr>
      </w:pPr>
      <w:r>
        <w:rPr>
          <w:rFonts w:hint="eastAsia" w:ascii="宋体" w:hAnsi="宋体" w:cs="宋体"/>
          <w:bCs/>
          <w:color w:val="auto"/>
          <w:sz w:val="21"/>
          <w:szCs w:val="21"/>
          <w:highlight w:val="none"/>
        </w:rPr>
        <w:t>附件四：</w:t>
      </w:r>
    </w:p>
    <w:p w14:paraId="778E00C0">
      <w:pPr>
        <w:spacing w:line="400" w:lineRule="exact"/>
        <w:jc w:val="center"/>
        <w:outlineLvl w:val="0"/>
        <w:rPr>
          <w:rFonts w:hint="default" w:ascii="宋体" w:hAnsi="宋体" w:eastAsia="宋体" w:cs="宋体"/>
          <w:b/>
          <w:color w:val="auto"/>
          <w:sz w:val="24"/>
          <w:szCs w:val="24"/>
          <w:highlight w:val="none"/>
          <w:lang w:val="en-US" w:eastAsia="zh-CN"/>
        </w:rPr>
      </w:pPr>
      <w:r>
        <w:rPr>
          <w:rFonts w:hint="eastAsia" w:ascii="宋体" w:hAnsi="宋体" w:cs="宋体"/>
          <w:b/>
          <w:color w:val="auto"/>
          <w:sz w:val="24"/>
          <w:szCs w:val="24"/>
          <w:highlight w:val="none"/>
        </w:rPr>
        <w:t>报价一览表</w:t>
      </w:r>
      <w:r>
        <w:rPr>
          <w:rFonts w:hint="eastAsia" w:ascii="宋体" w:hAnsi="宋体" w:cs="宋体"/>
          <w:b/>
          <w:color w:val="auto"/>
          <w:sz w:val="24"/>
          <w:szCs w:val="24"/>
          <w:highlight w:val="none"/>
          <w:lang w:val="en-US" w:eastAsia="zh-CN"/>
        </w:rPr>
        <w:t>及分项报价表</w:t>
      </w:r>
    </w:p>
    <w:p w14:paraId="449F440E">
      <w:pPr>
        <w:pStyle w:val="6"/>
        <w:rPr>
          <w:color w:val="auto"/>
          <w:sz w:val="21"/>
          <w:szCs w:val="21"/>
          <w:highlight w:val="none"/>
        </w:rPr>
      </w:pPr>
    </w:p>
    <w:p w14:paraId="473ECBA6">
      <w:pPr>
        <w:pStyle w:val="6"/>
        <w:rPr>
          <w:color w:val="auto"/>
          <w:sz w:val="21"/>
          <w:szCs w:val="21"/>
          <w:highlight w:val="none"/>
        </w:rPr>
      </w:pPr>
    </w:p>
    <w:p w14:paraId="3A4C3849">
      <w:pPr>
        <w:snapToGrid w:val="0"/>
        <w:spacing w:line="360" w:lineRule="auto"/>
        <w:rPr>
          <w:rFonts w:cs="宋体"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响应人名称（公章）：</w:t>
      </w:r>
    </w:p>
    <w:tbl>
      <w:tblPr>
        <w:tblStyle w:val="27"/>
        <w:tblW w:w="89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1"/>
        <w:gridCol w:w="7047"/>
      </w:tblGrid>
      <w:tr w14:paraId="214C4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861" w:type="dxa"/>
            <w:vAlign w:val="center"/>
          </w:tcPr>
          <w:p w14:paraId="3582849C">
            <w:pPr>
              <w:jc w:val="center"/>
              <w:rPr>
                <w:rFonts w:asciiTheme="minorEastAsia" w:hAnsiTheme="minorEastAsia" w:eastAsiaTheme="minorEastAsia"/>
                <w:bCs/>
                <w:color w:val="auto"/>
                <w:sz w:val="21"/>
                <w:szCs w:val="21"/>
                <w:highlight w:val="none"/>
              </w:rPr>
            </w:pPr>
            <w:r>
              <w:rPr>
                <w:rFonts w:hint="eastAsia" w:asciiTheme="minorEastAsia" w:hAnsiTheme="minorEastAsia" w:eastAsiaTheme="minorEastAsia"/>
                <w:bCs/>
                <w:color w:val="auto"/>
                <w:sz w:val="21"/>
                <w:szCs w:val="21"/>
                <w:highlight w:val="none"/>
              </w:rPr>
              <w:t>项目名称</w:t>
            </w:r>
          </w:p>
        </w:tc>
        <w:tc>
          <w:tcPr>
            <w:tcW w:w="7047" w:type="dxa"/>
            <w:vAlign w:val="center"/>
          </w:tcPr>
          <w:p w14:paraId="283C3554">
            <w:pPr>
              <w:jc w:val="left"/>
              <w:rPr>
                <w:rFonts w:asciiTheme="minorEastAsia" w:hAnsiTheme="minorEastAsia" w:eastAsiaTheme="minorEastAsia"/>
                <w:bCs/>
                <w:color w:val="auto"/>
                <w:sz w:val="21"/>
                <w:szCs w:val="21"/>
                <w:highlight w:val="none"/>
              </w:rPr>
            </w:pPr>
          </w:p>
        </w:tc>
      </w:tr>
      <w:tr w14:paraId="60D4E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56" w:hRule="atLeast"/>
        </w:trPr>
        <w:tc>
          <w:tcPr>
            <w:tcW w:w="1861" w:type="dxa"/>
            <w:vAlign w:val="center"/>
          </w:tcPr>
          <w:p w14:paraId="554E1D79">
            <w:pPr>
              <w:jc w:val="center"/>
              <w:rPr>
                <w:rFonts w:hint="default" w:asciiTheme="minorEastAsia" w:hAnsiTheme="minorEastAsia" w:eastAsiaTheme="minorEastAsia"/>
                <w:bCs/>
                <w:color w:val="auto"/>
                <w:sz w:val="21"/>
                <w:szCs w:val="21"/>
                <w:highlight w:val="none"/>
                <w:lang w:val="en-US" w:eastAsia="zh-CN"/>
              </w:rPr>
            </w:pPr>
            <w:r>
              <w:rPr>
                <w:rFonts w:hint="eastAsia" w:asciiTheme="minorEastAsia" w:hAnsiTheme="minorEastAsia" w:eastAsiaTheme="minorEastAsia"/>
                <w:bCs/>
                <w:color w:val="auto"/>
                <w:sz w:val="21"/>
                <w:szCs w:val="21"/>
                <w:highlight w:val="none"/>
                <w:lang w:val="en-US" w:eastAsia="zh-CN"/>
              </w:rPr>
              <w:t>投标价（元）</w:t>
            </w:r>
          </w:p>
        </w:tc>
        <w:tc>
          <w:tcPr>
            <w:tcW w:w="7047" w:type="dxa"/>
            <w:vAlign w:val="center"/>
          </w:tcPr>
          <w:p w14:paraId="5E9F1E0E">
            <w:pPr>
              <w:jc w:val="left"/>
              <w:rPr>
                <w:rFonts w:asciiTheme="minorEastAsia" w:hAnsiTheme="minorEastAsia" w:eastAsiaTheme="minorEastAsia"/>
                <w:bCs/>
                <w:color w:val="auto"/>
                <w:sz w:val="21"/>
                <w:szCs w:val="21"/>
                <w:highlight w:val="none"/>
              </w:rPr>
            </w:pPr>
          </w:p>
        </w:tc>
      </w:tr>
      <w:tr w14:paraId="2F1D2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861" w:type="dxa"/>
            <w:vAlign w:val="center"/>
          </w:tcPr>
          <w:p w14:paraId="11F1BD6B">
            <w:pPr>
              <w:jc w:val="center"/>
              <w:rPr>
                <w:rFonts w:asciiTheme="minorEastAsia" w:hAnsiTheme="minorEastAsia" w:eastAsiaTheme="minorEastAsia"/>
                <w:bCs/>
                <w:color w:val="auto"/>
                <w:sz w:val="21"/>
                <w:szCs w:val="21"/>
                <w:highlight w:val="none"/>
              </w:rPr>
            </w:pPr>
            <w:r>
              <w:rPr>
                <w:rFonts w:hint="eastAsia" w:asciiTheme="minorEastAsia" w:hAnsiTheme="minorEastAsia" w:eastAsiaTheme="minorEastAsia"/>
                <w:bCs/>
                <w:color w:val="auto"/>
                <w:sz w:val="21"/>
                <w:szCs w:val="21"/>
                <w:highlight w:val="none"/>
              </w:rPr>
              <w:t>项目负责人</w:t>
            </w:r>
          </w:p>
        </w:tc>
        <w:tc>
          <w:tcPr>
            <w:tcW w:w="7047" w:type="dxa"/>
            <w:vAlign w:val="center"/>
          </w:tcPr>
          <w:p w14:paraId="2FA7322C">
            <w:pPr>
              <w:jc w:val="left"/>
              <w:rPr>
                <w:rFonts w:asciiTheme="minorEastAsia" w:hAnsiTheme="minorEastAsia" w:eastAsiaTheme="minorEastAsia"/>
                <w:bCs/>
                <w:color w:val="auto"/>
                <w:sz w:val="21"/>
                <w:szCs w:val="21"/>
                <w:highlight w:val="none"/>
              </w:rPr>
            </w:pPr>
          </w:p>
        </w:tc>
      </w:tr>
      <w:tr w14:paraId="4697B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4" w:hRule="atLeast"/>
        </w:trPr>
        <w:tc>
          <w:tcPr>
            <w:tcW w:w="1861" w:type="dxa"/>
            <w:vAlign w:val="center"/>
          </w:tcPr>
          <w:p w14:paraId="10E0B5F7">
            <w:pPr>
              <w:spacing w:line="360" w:lineRule="auto"/>
              <w:jc w:val="center"/>
              <w:rPr>
                <w:rFonts w:ascii="宋体" w:hAnsi="宋体" w:cs="宋体"/>
                <w:color w:val="auto"/>
                <w:sz w:val="21"/>
                <w:szCs w:val="21"/>
                <w:highlight w:val="none"/>
              </w:rPr>
            </w:pPr>
            <w:r>
              <w:rPr>
                <w:rFonts w:hint="eastAsia" w:ascii="宋体" w:hAnsi="宋体" w:cs="宋体"/>
                <w:color w:val="auto"/>
                <w:sz w:val="21"/>
                <w:szCs w:val="21"/>
                <w:highlight w:val="none"/>
              </w:rPr>
              <w:t>服务期限</w:t>
            </w:r>
          </w:p>
        </w:tc>
        <w:tc>
          <w:tcPr>
            <w:tcW w:w="7047" w:type="dxa"/>
            <w:vAlign w:val="center"/>
          </w:tcPr>
          <w:p w14:paraId="171BD73C">
            <w:pPr>
              <w:spacing w:line="360" w:lineRule="auto"/>
              <w:rPr>
                <w:rFonts w:ascii="宋体" w:hAnsi="宋体" w:cs="宋体"/>
                <w:color w:val="auto"/>
                <w:sz w:val="21"/>
                <w:szCs w:val="21"/>
                <w:highlight w:val="none"/>
              </w:rPr>
            </w:pPr>
          </w:p>
        </w:tc>
      </w:tr>
    </w:tbl>
    <w:p w14:paraId="298C5274">
      <w:pPr>
        <w:snapToGrid w:val="0"/>
        <w:spacing w:line="360" w:lineRule="auto"/>
        <w:rPr>
          <w:rFonts w:ascii="宋体" w:hAnsi="宋体" w:cs="宋体"/>
          <w:color w:val="auto"/>
          <w:sz w:val="21"/>
          <w:szCs w:val="21"/>
          <w:highlight w:val="none"/>
        </w:rPr>
      </w:pPr>
    </w:p>
    <w:p w14:paraId="3ED11742">
      <w:pPr>
        <w:snapToGrid w:val="0"/>
        <w:spacing w:line="360" w:lineRule="auto"/>
        <w:rPr>
          <w:rFonts w:ascii="宋体" w:hAnsi="宋体" w:cs="宋体"/>
          <w:color w:val="auto"/>
          <w:sz w:val="21"/>
          <w:szCs w:val="21"/>
          <w:highlight w:val="none"/>
        </w:rPr>
      </w:pPr>
    </w:p>
    <w:p w14:paraId="3281C086">
      <w:pPr>
        <w:spacing w:line="44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 xml:space="preserve">响应人（盖章）：                 </w:t>
      </w:r>
    </w:p>
    <w:p w14:paraId="78A0FC9A">
      <w:pPr>
        <w:spacing w:line="44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法定代表人或委托代理人（签字或盖章）：</w:t>
      </w:r>
    </w:p>
    <w:p w14:paraId="7C7AAF6A">
      <w:pPr>
        <w:spacing w:line="440" w:lineRule="exact"/>
        <w:ind w:firstLine="420" w:firstLineChars="200"/>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rPr>
        <w:t xml:space="preserve">日期：______年月  </w:t>
      </w:r>
      <w:r>
        <w:rPr>
          <w:rFonts w:hint="eastAsia" w:ascii="宋体" w:hAnsi="宋体" w:cs="宋体"/>
          <w:color w:val="auto"/>
          <w:sz w:val="21"/>
          <w:szCs w:val="21"/>
          <w:highlight w:val="none"/>
          <w:lang w:val="en-US" w:eastAsia="zh-CN"/>
        </w:rPr>
        <w:t>日</w:t>
      </w:r>
    </w:p>
    <w:p w14:paraId="397A65D2">
      <w:pPr>
        <w:snapToGrid w:val="0"/>
        <w:spacing w:line="360" w:lineRule="auto"/>
        <w:rPr>
          <w:rFonts w:ascii="宋体" w:hAnsi="宋体" w:cs="宋体"/>
          <w:color w:val="auto"/>
          <w:sz w:val="21"/>
          <w:szCs w:val="21"/>
          <w:highlight w:val="none"/>
        </w:rPr>
      </w:pPr>
    </w:p>
    <w:p w14:paraId="7CCD752C">
      <w:pPr>
        <w:rPr>
          <w:rFonts w:hint="eastAsia" w:ascii="宋体" w:hAnsi="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br w:type="page"/>
      </w:r>
    </w:p>
    <w:p w14:paraId="76BBD691">
      <w:pPr>
        <w:pStyle w:val="9"/>
        <w:ind w:left="560"/>
        <w:jc w:val="center"/>
        <w:rPr>
          <w:rFonts w:ascii="宋体" w:hAnsi="宋体" w:cs="宋体"/>
          <w:color w:val="auto"/>
          <w:sz w:val="24"/>
          <w:szCs w:val="24"/>
          <w:highlight w:val="none"/>
        </w:rPr>
      </w:pPr>
      <w:r>
        <w:rPr>
          <w:rFonts w:hint="eastAsia" w:ascii="宋体" w:hAnsi="宋体" w:cs="宋体"/>
          <w:b/>
          <w:color w:val="auto"/>
          <w:sz w:val="24"/>
          <w:szCs w:val="24"/>
          <w:highlight w:val="none"/>
          <w:lang w:val="en-US" w:eastAsia="zh-CN"/>
        </w:rPr>
        <w:t>分项报价表</w:t>
      </w:r>
    </w:p>
    <w:tbl>
      <w:tblPr>
        <w:tblStyle w:val="27"/>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74"/>
        <w:gridCol w:w="5149"/>
        <w:gridCol w:w="1174"/>
        <w:gridCol w:w="1174"/>
        <w:gridCol w:w="1179"/>
      </w:tblGrid>
      <w:tr w14:paraId="63CCD7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930E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序号</w:t>
            </w:r>
          </w:p>
        </w:tc>
        <w:tc>
          <w:tcPr>
            <w:tcW w:w="26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CF8C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产品名称</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267D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数量</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BDA1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单价</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8F35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总价</w:t>
            </w:r>
          </w:p>
        </w:tc>
      </w:tr>
      <w:tr w14:paraId="080DA9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D490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26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FE993">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教学实训车</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A37E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CF87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6A3C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p>
        </w:tc>
      </w:tr>
      <w:tr w14:paraId="1FD7C1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9F13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w:t>
            </w:r>
          </w:p>
        </w:tc>
        <w:tc>
          <w:tcPr>
            <w:tcW w:w="26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32F83">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动力电池总成装调工作平台</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1899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59FD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96A8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p>
        </w:tc>
      </w:tr>
      <w:tr w14:paraId="75B19E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2C91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w:t>
            </w:r>
          </w:p>
        </w:tc>
        <w:tc>
          <w:tcPr>
            <w:tcW w:w="26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13C84">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新能源汽车动力总成拆装实训台</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1A5A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2688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3FAA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p>
        </w:tc>
      </w:tr>
      <w:tr w14:paraId="62C665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B760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4</w:t>
            </w:r>
          </w:p>
        </w:tc>
        <w:tc>
          <w:tcPr>
            <w:tcW w:w="26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1609F">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新能源汽车故障诊断仿真教学系统</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38D7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2C10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7CF4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p>
        </w:tc>
      </w:tr>
      <w:tr w14:paraId="793C44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CE1A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5</w:t>
            </w:r>
          </w:p>
        </w:tc>
        <w:tc>
          <w:tcPr>
            <w:tcW w:w="26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F5338">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一体化集成工具台</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3BC9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DA9F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B4BD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p>
        </w:tc>
      </w:tr>
      <w:tr w14:paraId="32DF2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56CC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6</w:t>
            </w:r>
          </w:p>
        </w:tc>
        <w:tc>
          <w:tcPr>
            <w:tcW w:w="26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0D31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万用接线盒</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9DD0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0970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491E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p>
        </w:tc>
      </w:tr>
      <w:tr w14:paraId="643070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E6AE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7</w:t>
            </w:r>
          </w:p>
        </w:tc>
        <w:tc>
          <w:tcPr>
            <w:tcW w:w="26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A9C7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工位安全保护套装</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CED3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7565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p>
        </w:tc>
        <w:tc>
          <w:tcPr>
            <w:tcW w:w="5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3502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p>
        </w:tc>
      </w:tr>
      <w:tr w14:paraId="400739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20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69E8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合计</w:t>
            </w:r>
          </w:p>
        </w:tc>
        <w:tc>
          <w:tcPr>
            <w:tcW w:w="179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5A2A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p>
        </w:tc>
      </w:tr>
    </w:tbl>
    <w:p w14:paraId="3EA35692">
      <w:pPr>
        <w:pStyle w:val="9"/>
        <w:ind w:left="0" w:leftChars="0"/>
        <w:rPr>
          <w:rFonts w:ascii="宋体" w:hAnsi="宋体" w:cs="宋体"/>
          <w:color w:val="auto"/>
          <w:sz w:val="21"/>
          <w:szCs w:val="21"/>
          <w:highlight w:val="none"/>
        </w:rPr>
      </w:pPr>
    </w:p>
    <w:p w14:paraId="3035B575">
      <w:pPr>
        <w:snapToGrid w:val="0"/>
        <w:spacing w:line="360" w:lineRule="auto"/>
        <w:rPr>
          <w:rFonts w:ascii="宋体" w:hAnsi="宋体" w:cs="宋体"/>
          <w:color w:val="auto"/>
          <w:sz w:val="21"/>
          <w:szCs w:val="21"/>
          <w:highlight w:val="none"/>
        </w:rPr>
      </w:pPr>
    </w:p>
    <w:p w14:paraId="631430A6">
      <w:pPr>
        <w:spacing w:line="44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 xml:space="preserve">响应人（盖章）：                 </w:t>
      </w:r>
    </w:p>
    <w:p w14:paraId="631FC06D">
      <w:pPr>
        <w:spacing w:line="44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法定代表人或委托代理人（签字或盖章）：</w:t>
      </w:r>
    </w:p>
    <w:p w14:paraId="7E9B48E1">
      <w:pPr>
        <w:spacing w:line="44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 xml:space="preserve">日期：______年月  </w:t>
      </w:r>
      <w:r>
        <w:rPr>
          <w:rFonts w:hint="eastAsia" w:ascii="宋体" w:hAnsi="宋体" w:cs="宋体"/>
          <w:color w:val="auto"/>
          <w:sz w:val="21"/>
          <w:szCs w:val="21"/>
          <w:highlight w:val="none"/>
          <w:lang w:val="en-US" w:eastAsia="zh-CN"/>
        </w:rPr>
        <w:t>日</w:t>
      </w:r>
    </w:p>
    <w:p w14:paraId="069A6414">
      <w:pPr>
        <w:rPr>
          <w:rFonts w:ascii="宋体" w:hAnsi="宋体" w:cs="宋体"/>
          <w:bCs/>
          <w:color w:val="auto"/>
          <w:sz w:val="21"/>
          <w:szCs w:val="21"/>
          <w:highlight w:val="none"/>
        </w:rPr>
      </w:pPr>
      <w:r>
        <w:rPr>
          <w:rFonts w:hint="eastAsia" w:ascii="宋体" w:hAnsi="宋体" w:cs="宋体"/>
          <w:bCs/>
          <w:color w:val="auto"/>
          <w:sz w:val="21"/>
          <w:szCs w:val="21"/>
          <w:highlight w:val="none"/>
          <w:lang w:val="en-US" w:eastAsia="zh-CN"/>
        </w:rPr>
        <w:t>注：1</w:t>
      </w:r>
      <w:r>
        <w:rPr>
          <w:rFonts w:ascii="宋体" w:hAnsi="宋体" w:cs="宋体"/>
          <w:bCs/>
          <w:color w:val="auto"/>
          <w:sz w:val="21"/>
          <w:szCs w:val="21"/>
          <w:highlight w:val="none"/>
          <w:lang w:val="en-US" w:eastAsia="zh-CN"/>
        </w:rPr>
        <w:t>、各投标人应根据此表格式按项目分别填写</w:t>
      </w:r>
      <w:r>
        <w:rPr>
          <w:rFonts w:hint="eastAsia" w:ascii="宋体" w:hAnsi="宋体" w:cs="宋体"/>
          <w:bCs/>
          <w:color w:val="auto"/>
          <w:sz w:val="21"/>
          <w:szCs w:val="21"/>
          <w:highlight w:val="none"/>
          <w:lang w:val="en-US" w:eastAsia="zh-CN"/>
        </w:rPr>
        <w:t>分项报价表</w:t>
      </w:r>
      <w:r>
        <w:rPr>
          <w:rFonts w:ascii="宋体" w:hAnsi="宋体" w:cs="宋体"/>
          <w:bCs/>
          <w:color w:val="auto"/>
          <w:sz w:val="21"/>
          <w:szCs w:val="21"/>
          <w:highlight w:val="none"/>
          <w:lang w:val="en-US" w:eastAsia="zh-CN"/>
        </w:rPr>
        <w:t xml:space="preserve">。 </w:t>
      </w:r>
    </w:p>
    <w:p w14:paraId="11500C36">
      <w:pPr>
        <w:ind w:firstLine="420" w:firstLineChars="200"/>
        <w:rPr>
          <w:rFonts w:ascii="宋体" w:hAnsi="宋体" w:cs="宋体"/>
          <w:bCs/>
          <w:color w:val="auto"/>
          <w:sz w:val="21"/>
          <w:szCs w:val="21"/>
          <w:highlight w:val="none"/>
        </w:rPr>
      </w:pPr>
      <w:r>
        <w:rPr>
          <w:rFonts w:hint="eastAsia" w:ascii="宋体" w:hAnsi="宋体" w:cs="宋体"/>
          <w:bCs/>
          <w:color w:val="auto"/>
          <w:sz w:val="21"/>
          <w:szCs w:val="21"/>
          <w:highlight w:val="none"/>
          <w:lang w:val="en-US" w:eastAsia="zh-CN"/>
        </w:rPr>
        <w:t xml:space="preserve">2、以上价格均包括全部设备、辅助材料、人工、机械、运输、仓储、保险、安装、维护、 </w:t>
      </w:r>
    </w:p>
    <w:p w14:paraId="55215710">
      <w:pPr>
        <w:rPr>
          <w:rFonts w:ascii="宋体" w:hAnsi="宋体" w:cs="宋体"/>
          <w:bCs/>
          <w:color w:val="auto"/>
          <w:sz w:val="21"/>
          <w:szCs w:val="21"/>
          <w:highlight w:val="none"/>
        </w:rPr>
      </w:pPr>
      <w:r>
        <w:rPr>
          <w:rFonts w:hint="eastAsia" w:ascii="宋体" w:hAnsi="宋体" w:cs="宋体"/>
          <w:bCs/>
          <w:color w:val="auto"/>
          <w:sz w:val="21"/>
          <w:szCs w:val="21"/>
          <w:highlight w:val="none"/>
          <w:lang w:val="en-US" w:eastAsia="zh-CN"/>
        </w:rPr>
        <w:t xml:space="preserve">运营、各种税费、劳保、专利技术、伴随服务及质保期间等一切费用。 </w:t>
      </w:r>
    </w:p>
    <w:p w14:paraId="575C4EC0">
      <w:pPr>
        <w:ind w:firstLine="420" w:firstLineChars="200"/>
        <w:rPr>
          <w:rFonts w:ascii="宋体" w:hAnsi="宋体" w:cs="宋体"/>
          <w:bCs/>
          <w:color w:val="auto"/>
          <w:sz w:val="21"/>
          <w:szCs w:val="21"/>
          <w:highlight w:val="none"/>
        </w:rPr>
      </w:pPr>
      <w:r>
        <w:rPr>
          <w:rFonts w:hint="eastAsia" w:ascii="宋体" w:hAnsi="宋体" w:cs="宋体"/>
          <w:bCs/>
          <w:color w:val="auto"/>
          <w:sz w:val="21"/>
          <w:szCs w:val="21"/>
          <w:highlight w:val="none"/>
          <w:lang w:val="en-US" w:eastAsia="zh-CN"/>
        </w:rPr>
        <w:t xml:space="preserve">3、在合同履行过程中一旦发现不能满足技术要求的产品，成交供应商应无条件更换符合 </w:t>
      </w:r>
    </w:p>
    <w:p w14:paraId="77930E89">
      <w:pPr>
        <w:rPr>
          <w:rFonts w:ascii="宋体" w:hAnsi="宋体" w:cs="宋体"/>
          <w:bCs/>
          <w:color w:val="auto"/>
          <w:sz w:val="21"/>
          <w:szCs w:val="21"/>
          <w:highlight w:val="none"/>
        </w:rPr>
      </w:pPr>
      <w:r>
        <w:rPr>
          <w:rFonts w:hint="eastAsia" w:ascii="宋体" w:hAnsi="宋体" w:cs="宋体"/>
          <w:bCs/>
          <w:color w:val="auto"/>
          <w:sz w:val="21"/>
          <w:szCs w:val="21"/>
          <w:highlight w:val="none"/>
          <w:lang w:val="en-US" w:eastAsia="zh-CN"/>
        </w:rPr>
        <w:t xml:space="preserve">采购人及本项目技术要求的产品，更换期间，原设备正常使用，待设备按要求更换后予以拆除 </w:t>
      </w:r>
    </w:p>
    <w:p w14:paraId="728CCF00">
      <w:pPr>
        <w:rPr>
          <w:rFonts w:ascii="宋体" w:hAnsi="宋体" w:cs="宋体"/>
          <w:bCs/>
          <w:color w:val="auto"/>
          <w:sz w:val="21"/>
          <w:szCs w:val="21"/>
          <w:highlight w:val="none"/>
        </w:rPr>
      </w:pPr>
      <w:r>
        <w:rPr>
          <w:rFonts w:hint="eastAsia" w:ascii="宋体" w:hAnsi="宋体" w:cs="宋体"/>
          <w:bCs/>
          <w:color w:val="auto"/>
          <w:sz w:val="21"/>
          <w:szCs w:val="21"/>
          <w:highlight w:val="none"/>
          <w:lang w:val="en-US" w:eastAsia="zh-CN"/>
        </w:rPr>
        <w:t>归还。</w:t>
      </w:r>
    </w:p>
    <w:p w14:paraId="730A2B5A">
      <w:pPr>
        <w:rPr>
          <w:rFonts w:hint="eastAsia" w:ascii="宋体" w:hAnsi="宋体" w:cs="宋体"/>
          <w:bCs/>
          <w:color w:val="auto"/>
          <w:sz w:val="21"/>
          <w:szCs w:val="21"/>
          <w:highlight w:val="none"/>
        </w:rPr>
      </w:pPr>
      <w:r>
        <w:rPr>
          <w:rFonts w:ascii="宋体" w:hAnsi="宋体" w:cs="宋体"/>
          <w:bCs/>
          <w:color w:val="auto"/>
          <w:sz w:val="21"/>
          <w:szCs w:val="21"/>
          <w:highlight w:val="none"/>
        </w:rPr>
        <w:br w:type="page"/>
      </w:r>
    </w:p>
    <w:p w14:paraId="7A28D9F9">
      <w:pPr>
        <w:adjustRightInd w:val="0"/>
        <w:spacing w:line="400" w:lineRule="exact"/>
        <w:jc w:val="left"/>
        <w:textAlignment w:val="baseline"/>
        <w:outlineLvl w:val="0"/>
        <w:rPr>
          <w:color w:val="auto"/>
          <w:sz w:val="21"/>
          <w:szCs w:val="21"/>
          <w:highlight w:val="none"/>
        </w:rPr>
      </w:pPr>
      <w:r>
        <w:rPr>
          <w:rFonts w:hint="eastAsia" w:ascii="宋体" w:hAnsi="宋体" w:cs="宋体"/>
          <w:bCs/>
          <w:color w:val="auto"/>
          <w:sz w:val="21"/>
          <w:szCs w:val="21"/>
          <w:highlight w:val="none"/>
        </w:rPr>
        <w:t>附件五：</w:t>
      </w:r>
    </w:p>
    <w:p w14:paraId="3E2A2A7D">
      <w:pPr>
        <w:autoSpaceDE w:val="0"/>
        <w:spacing w:line="400" w:lineRule="exact"/>
        <w:jc w:val="center"/>
        <w:outlineLvl w:val="0"/>
        <w:rPr>
          <w:rFonts w:ascii="宋体" w:hAnsi="宋体" w:cs="宋体"/>
          <w:b/>
          <w:color w:val="auto"/>
          <w:kern w:val="0"/>
          <w:sz w:val="21"/>
          <w:szCs w:val="21"/>
          <w:highlight w:val="none"/>
        </w:rPr>
      </w:pPr>
      <w:r>
        <w:rPr>
          <w:rFonts w:hint="eastAsia" w:ascii="宋体" w:hAnsi="宋体" w:cs="宋体"/>
          <w:b/>
          <w:color w:val="auto"/>
          <w:kern w:val="0"/>
          <w:sz w:val="21"/>
          <w:szCs w:val="21"/>
          <w:highlight w:val="none"/>
        </w:rPr>
        <w:t>供应商信用承诺书</w:t>
      </w:r>
    </w:p>
    <w:p w14:paraId="7DFA0C1B">
      <w:pPr>
        <w:tabs>
          <w:tab w:val="left" w:pos="3762"/>
        </w:tabs>
        <w:spacing w:line="440" w:lineRule="exact"/>
        <w:rPr>
          <w:rFonts w:ascii="宋体" w:hAnsi="宋体" w:cs="宋体"/>
          <w:color w:val="auto"/>
          <w:sz w:val="21"/>
          <w:szCs w:val="21"/>
          <w:highlight w:val="none"/>
          <w:u w:val="single"/>
        </w:rPr>
      </w:pP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w:t>
      </w:r>
    </w:p>
    <w:p w14:paraId="1D442EF1">
      <w:pPr>
        <w:adjustRightInd w:val="0"/>
        <w:snapToGrid w:val="0"/>
        <w:spacing w:line="440" w:lineRule="exact"/>
        <w:ind w:firstLine="420" w:firstLineChars="200"/>
        <w:jc w:val="left"/>
        <w:rPr>
          <w:rFonts w:ascii="宋体" w:hAnsi="宋体" w:cs="宋体"/>
          <w:color w:val="auto"/>
          <w:sz w:val="21"/>
          <w:szCs w:val="21"/>
          <w:highlight w:val="none"/>
        </w:rPr>
      </w:pPr>
      <w:r>
        <w:rPr>
          <w:rFonts w:hint="eastAsia" w:ascii="宋体" w:hAnsi="宋体" w:cs="宋体"/>
          <w:color w:val="auto"/>
          <w:sz w:val="21"/>
          <w:szCs w:val="21"/>
          <w:highlight w:val="none"/>
        </w:rPr>
        <w:t>本单位及本单位法定代表人，均清楚知晓我单位</w:t>
      </w:r>
      <w:r>
        <w:rPr>
          <w:rFonts w:hint="eastAsia" w:ascii="宋体" w:hAnsi="宋体" w:cs="宋体"/>
          <w:color w:val="auto"/>
          <w:sz w:val="21"/>
          <w:szCs w:val="21"/>
          <w:highlight w:val="none"/>
          <w:u w:val="single"/>
        </w:rPr>
        <w:t xml:space="preserve">                                   （项目名称）的</w:t>
      </w:r>
      <w:r>
        <w:rPr>
          <w:rFonts w:hint="eastAsia" w:ascii="宋体" w:hAnsi="宋体" w:cs="宋体"/>
          <w:color w:val="auto"/>
          <w:sz w:val="21"/>
          <w:szCs w:val="21"/>
          <w:highlight w:val="none"/>
        </w:rPr>
        <w:t>投标活动，对以下事项作出承诺：</w:t>
      </w:r>
      <w:r>
        <w:rPr>
          <w:rFonts w:hint="eastAsia" w:ascii="宋体" w:hAnsi="宋体" w:cs="宋体"/>
          <w:color w:val="auto"/>
          <w:sz w:val="21"/>
          <w:szCs w:val="21"/>
          <w:highlight w:val="none"/>
        </w:rPr>
        <w:tab/>
      </w:r>
    </w:p>
    <w:p w14:paraId="731F8505">
      <w:pPr>
        <w:spacing w:line="44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1.针对</w:t>
      </w:r>
      <w:r>
        <w:rPr>
          <w:rFonts w:hint="eastAsia" w:ascii="宋体" w:hAnsi="宋体" w:cs="宋体"/>
          <w:color w:val="auto"/>
          <w:kern w:val="0"/>
          <w:sz w:val="21"/>
          <w:szCs w:val="21"/>
          <w:highlight w:val="none"/>
        </w:rPr>
        <w:t>江苏省金坛中等专业学校</w:t>
      </w:r>
      <w:r>
        <w:rPr>
          <w:rFonts w:hint="eastAsia" w:cs="宋体" w:asciiTheme="majorEastAsia" w:hAnsiTheme="majorEastAsia" w:eastAsiaTheme="majorEastAsia"/>
          <w:color w:val="auto"/>
          <w:sz w:val="21"/>
          <w:szCs w:val="21"/>
          <w:highlight w:val="none"/>
        </w:rPr>
        <w:t>谈判文件</w:t>
      </w:r>
      <w:r>
        <w:rPr>
          <w:rFonts w:hint="eastAsia" w:ascii="宋体" w:hAnsi="宋体" w:cs="宋体"/>
          <w:color w:val="auto"/>
          <w:sz w:val="21"/>
          <w:szCs w:val="21"/>
          <w:highlight w:val="none"/>
        </w:rPr>
        <w:t>中所填写所有关于资格文件，附件材料说明及证明陈述均是真实,准确的，若有虚假和违背，我单位愿意承担由此而产生的一切后果。</w:t>
      </w:r>
    </w:p>
    <w:p w14:paraId="09847A2C">
      <w:pPr>
        <w:spacing w:line="44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2.我单位已详细审查了全部</w:t>
      </w:r>
      <w:r>
        <w:rPr>
          <w:rFonts w:hint="eastAsia" w:cs="宋体" w:asciiTheme="majorEastAsia" w:hAnsiTheme="majorEastAsia" w:eastAsiaTheme="majorEastAsia"/>
          <w:color w:val="auto"/>
          <w:sz w:val="21"/>
          <w:szCs w:val="21"/>
          <w:highlight w:val="none"/>
        </w:rPr>
        <w:t>谈判文件</w:t>
      </w:r>
      <w:r>
        <w:rPr>
          <w:rFonts w:hint="eastAsia" w:ascii="宋体" w:hAnsi="宋体" w:cs="宋体"/>
          <w:color w:val="auto"/>
          <w:sz w:val="21"/>
          <w:szCs w:val="21"/>
          <w:highlight w:val="none"/>
        </w:rPr>
        <w:t>，投标后，我们放弃对</w:t>
      </w:r>
      <w:r>
        <w:rPr>
          <w:rFonts w:hint="eastAsia" w:cs="宋体" w:asciiTheme="majorEastAsia" w:hAnsiTheme="majorEastAsia" w:eastAsiaTheme="majorEastAsia"/>
          <w:color w:val="auto"/>
          <w:sz w:val="21"/>
          <w:szCs w:val="21"/>
          <w:highlight w:val="none"/>
        </w:rPr>
        <w:t>谈判文件</w:t>
      </w:r>
      <w:r>
        <w:rPr>
          <w:rFonts w:hint="eastAsia" w:ascii="宋体" w:hAnsi="宋体" w:cs="宋体"/>
          <w:color w:val="auto"/>
          <w:sz w:val="21"/>
          <w:szCs w:val="21"/>
          <w:highlight w:val="none"/>
        </w:rPr>
        <w:t>质疑的权利。</w:t>
      </w:r>
    </w:p>
    <w:p w14:paraId="1402975D">
      <w:pPr>
        <w:spacing w:line="44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3.我单位及我单位法定代表人保证遵循公开、公平、公正、诚实守信的原则，依法依规参与本项目采购活动。</w:t>
      </w:r>
    </w:p>
    <w:p w14:paraId="791B7927">
      <w:pPr>
        <w:spacing w:line="440" w:lineRule="exact"/>
        <w:ind w:firstLine="420" w:firstLineChars="200"/>
        <w:rPr>
          <w:rFonts w:ascii="宋体" w:hAnsi="宋体" w:cs="宋体"/>
          <w:color w:val="auto"/>
          <w:kern w:val="0"/>
          <w:sz w:val="21"/>
          <w:szCs w:val="21"/>
          <w:highlight w:val="none"/>
        </w:rPr>
      </w:pPr>
      <w:r>
        <w:rPr>
          <w:rFonts w:hint="eastAsia" w:ascii="宋体" w:hAnsi="宋体" w:cs="宋体"/>
          <w:color w:val="auto"/>
          <w:kern w:val="0"/>
          <w:sz w:val="21"/>
          <w:szCs w:val="21"/>
          <w:highlight w:val="none"/>
        </w:rPr>
        <w:t>4.我单位及我单位法定代表人以及授权代表人在本项目采购活动中，均不存在、也未参与任何围标串标活动，也不存在以他人名义投标的行为。</w:t>
      </w:r>
    </w:p>
    <w:p w14:paraId="4B062D6B">
      <w:pPr>
        <w:spacing w:line="440" w:lineRule="exact"/>
        <w:ind w:firstLine="420" w:firstLineChars="200"/>
        <w:rPr>
          <w:rFonts w:ascii="宋体" w:hAnsi="宋体" w:cs="宋体"/>
          <w:color w:val="auto"/>
          <w:kern w:val="0"/>
          <w:sz w:val="21"/>
          <w:szCs w:val="21"/>
          <w:highlight w:val="none"/>
        </w:rPr>
      </w:pPr>
      <w:r>
        <w:rPr>
          <w:rFonts w:hint="eastAsia" w:ascii="宋体" w:hAnsi="宋体" w:cs="宋体"/>
          <w:color w:val="auto"/>
          <w:kern w:val="0"/>
          <w:sz w:val="21"/>
          <w:szCs w:val="21"/>
          <w:highlight w:val="none"/>
        </w:rPr>
        <w:t>5.我单位如被查实在本项目采购活动中存在围标串标的或以他人名义投标的，本单位及法定代表人共同承担法律责任，接受相应行政、刑事及失信惩戒等处罚。</w:t>
      </w:r>
    </w:p>
    <w:p w14:paraId="33975143">
      <w:pPr>
        <w:spacing w:line="440" w:lineRule="exact"/>
        <w:ind w:firstLine="420" w:firstLineChars="200"/>
        <w:rPr>
          <w:rFonts w:ascii="宋体" w:hAnsi="宋体" w:cs="宋体"/>
          <w:color w:val="auto"/>
          <w:kern w:val="0"/>
          <w:sz w:val="21"/>
          <w:szCs w:val="21"/>
          <w:highlight w:val="none"/>
        </w:rPr>
      </w:pPr>
      <w:r>
        <w:rPr>
          <w:rFonts w:hint="eastAsia" w:ascii="宋体" w:hAnsi="宋体" w:cs="宋体"/>
          <w:color w:val="auto"/>
          <w:kern w:val="0"/>
          <w:sz w:val="21"/>
          <w:szCs w:val="21"/>
          <w:highlight w:val="none"/>
        </w:rPr>
        <w:t>6.承诺本单位在信用中国网站中无违法违规、较重或严重失信记录。</w:t>
      </w:r>
    </w:p>
    <w:p w14:paraId="32B0A704">
      <w:pPr>
        <w:spacing w:line="440" w:lineRule="exact"/>
        <w:ind w:firstLine="420" w:firstLineChars="200"/>
        <w:rPr>
          <w:rFonts w:ascii="宋体" w:hAnsi="宋体" w:cs="宋体"/>
          <w:color w:val="auto"/>
          <w:kern w:val="0"/>
          <w:sz w:val="21"/>
          <w:szCs w:val="21"/>
          <w:highlight w:val="none"/>
        </w:rPr>
      </w:pPr>
      <w:r>
        <w:rPr>
          <w:rFonts w:hint="eastAsia" w:ascii="宋体" w:hAnsi="宋体" w:cs="宋体"/>
          <w:color w:val="auto"/>
          <w:kern w:val="0"/>
          <w:sz w:val="21"/>
          <w:szCs w:val="21"/>
          <w:highlight w:val="none"/>
        </w:rPr>
        <w:t>7.承诺本单位若违背承诺约定，经查实，愿意接受行业主管部门和信用管理部门相应的规定处罚，承担违约责任，并依法承担相应的法律责任。</w:t>
      </w:r>
    </w:p>
    <w:p w14:paraId="3F82A232">
      <w:pPr>
        <w:spacing w:line="440" w:lineRule="exact"/>
        <w:ind w:firstLine="420" w:firstLineChars="200"/>
        <w:rPr>
          <w:rFonts w:ascii="宋体" w:hAnsi="宋体" w:cs="宋体"/>
          <w:color w:val="auto"/>
          <w:sz w:val="21"/>
          <w:szCs w:val="21"/>
          <w:highlight w:val="none"/>
        </w:rPr>
      </w:pPr>
    </w:p>
    <w:p w14:paraId="16967372">
      <w:pPr>
        <w:spacing w:line="44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 xml:space="preserve">响应人（盖章）：                 </w:t>
      </w:r>
    </w:p>
    <w:p w14:paraId="7C8199C4">
      <w:pPr>
        <w:spacing w:line="44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法定代表人或委托代理人（签字或盖章）：</w:t>
      </w:r>
    </w:p>
    <w:p w14:paraId="2ACF32D5">
      <w:pPr>
        <w:spacing w:line="440" w:lineRule="exact"/>
        <w:ind w:firstLine="420" w:firstLineChars="200"/>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rPr>
        <w:t xml:space="preserve">日期：______年月  </w:t>
      </w:r>
      <w:r>
        <w:rPr>
          <w:rFonts w:hint="eastAsia" w:ascii="宋体" w:hAnsi="宋体" w:cs="宋体"/>
          <w:color w:val="auto"/>
          <w:sz w:val="21"/>
          <w:szCs w:val="21"/>
          <w:highlight w:val="none"/>
          <w:lang w:val="en-US" w:eastAsia="zh-CN"/>
        </w:rPr>
        <w:t>日</w:t>
      </w:r>
    </w:p>
    <w:p w14:paraId="383B904E">
      <w:pPr>
        <w:spacing w:line="440" w:lineRule="exact"/>
        <w:rPr>
          <w:color w:val="auto"/>
          <w:sz w:val="21"/>
          <w:szCs w:val="21"/>
          <w:highlight w:val="none"/>
        </w:rPr>
      </w:pPr>
    </w:p>
    <w:p w14:paraId="0D81EA69">
      <w:pPr>
        <w:adjustRightInd w:val="0"/>
        <w:spacing w:line="440" w:lineRule="exact"/>
        <w:rPr>
          <w:rFonts w:ascii="宋体" w:hAnsi="宋体" w:cs="宋体"/>
          <w:b/>
          <w:color w:val="auto"/>
          <w:kern w:val="0"/>
          <w:sz w:val="21"/>
          <w:szCs w:val="21"/>
          <w:highlight w:val="none"/>
        </w:rPr>
      </w:pPr>
    </w:p>
    <w:p w14:paraId="5E5A336D">
      <w:pPr>
        <w:spacing w:line="440" w:lineRule="exact"/>
        <w:rPr>
          <w:rFonts w:ascii="宋体" w:hAnsi="宋体" w:cs="宋体"/>
          <w:bCs/>
          <w:color w:val="auto"/>
          <w:sz w:val="21"/>
          <w:szCs w:val="21"/>
          <w:highlight w:val="none"/>
        </w:rPr>
      </w:pPr>
      <w:r>
        <w:rPr>
          <w:rFonts w:hint="eastAsia" w:ascii="宋体" w:hAnsi="宋体" w:cs="宋体"/>
          <w:bCs/>
          <w:color w:val="auto"/>
          <w:sz w:val="21"/>
          <w:szCs w:val="21"/>
          <w:highlight w:val="none"/>
        </w:rPr>
        <w:br w:type="page"/>
      </w:r>
    </w:p>
    <w:p w14:paraId="2040345D">
      <w:pPr>
        <w:adjustRightInd w:val="0"/>
        <w:spacing w:before="240" w:after="60" w:line="400" w:lineRule="exact"/>
        <w:jc w:val="left"/>
        <w:textAlignment w:val="baseline"/>
        <w:outlineLvl w:val="0"/>
        <w:rPr>
          <w:rFonts w:ascii="宋体" w:hAnsi="宋体" w:cs="宋体"/>
          <w:bCs/>
          <w:color w:val="auto"/>
          <w:sz w:val="21"/>
          <w:szCs w:val="21"/>
          <w:highlight w:val="none"/>
        </w:rPr>
      </w:pPr>
      <w:r>
        <w:rPr>
          <w:rFonts w:hint="eastAsia" w:ascii="宋体" w:hAnsi="宋体" w:cs="宋体"/>
          <w:bCs/>
          <w:color w:val="auto"/>
          <w:sz w:val="21"/>
          <w:szCs w:val="21"/>
          <w:highlight w:val="none"/>
        </w:rPr>
        <w:t>附件六：</w:t>
      </w:r>
    </w:p>
    <w:p w14:paraId="624C51A2">
      <w:pPr>
        <w:spacing w:line="440" w:lineRule="exact"/>
        <w:jc w:val="center"/>
        <w:outlineLvl w:val="0"/>
        <w:rPr>
          <w:rFonts w:ascii="宋体" w:hAnsi="宋体" w:cs="宋体"/>
          <w:color w:val="auto"/>
          <w:sz w:val="21"/>
          <w:szCs w:val="21"/>
          <w:highlight w:val="none"/>
        </w:rPr>
      </w:pPr>
      <w:r>
        <w:rPr>
          <w:rFonts w:hint="eastAsia" w:ascii="宋体" w:hAnsi="宋体" w:cs="宋体"/>
          <w:b/>
          <w:bCs/>
          <w:color w:val="auto"/>
          <w:sz w:val="21"/>
          <w:szCs w:val="21"/>
          <w:highlight w:val="none"/>
        </w:rPr>
        <w:t>响应人基本资格条件承诺书</w:t>
      </w:r>
    </w:p>
    <w:p w14:paraId="42867C08">
      <w:pPr>
        <w:snapToGrid w:val="0"/>
        <w:spacing w:line="440" w:lineRule="exact"/>
        <w:ind w:firstLine="560" w:firstLineChars="200"/>
        <w:rPr>
          <w:rFonts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295D40BA">
      <w:pPr>
        <w:snapToGrid w:val="0"/>
        <w:spacing w:line="44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贵单位组织的</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采购活动，我单位愿意参加，并承诺的下列文件、证明和陈述均是准确的、真实的。若与真实情况不符，我单位愿意承担由此而产生的一切后果。</w:t>
      </w:r>
    </w:p>
    <w:tbl>
      <w:tblPr>
        <w:tblStyle w:val="27"/>
        <w:tblW w:w="8865" w:type="dxa"/>
        <w:tblInd w:w="0" w:type="dxa"/>
        <w:tblLayout w:type="fixed"/>
        <w:tblCellMar>
          <w:top w:w="0" w:type="dxa"/>
          <w:left w:w="108" w:type="dxa"/>
          <w:bottom w:w="0" w:type="dxa"/>
          <w:right w:w="108" w:type="dxa"/>
        </w:tblCellMar>
      </w:tblPr>
      <w:tblGrid>
        <w:gridCol w:w="830"/>
        <w:gridCol w:w="6615"/>
        <w:gridCol w:w="1420"/>
      </w:tblGrid>
      <w:tr w14:paraId="57B3AFED">
        <w:tblPrEx>
          <w:tblCellMar>
            <w:top w:w="0" w:type="dxa"/>
            <w:left w:w="108" w:type="dxa"/>
            <w:bottom w:w="0" w:type="dxa"/>
            <w:right w:w="108" w:type="dxa"/>
          </w:tblCellMar>
        </w:tblPrEx>
        <w:trPr>
          <w:trHeight w:val="567" w:hRule="atLeast"/>
        </w:trPr>
        <w:tc>
          <w:tcPr>
            <w:tcW w:w="830" w:type="dxa"/>
            <w:tcBorders>
              <w:top w:val="single" w:color="000000" w:sz="4" w:space="0"/>
              <w:left w:val="single" w:color="000000" w:sz="4" w:space="0"/>
              <w:bottom w:val="single" w:color="000000" w:sz="4" w:space="0"/>
              <w:right w:val="single" w:color="000000" w:sz="4" w:space="0"/>
            </w:tcBorders>
            <w:vAlign w:val="center"/>
          </w:tcPr>
          <w:p w14:paraId="21AA7D32">
            <w:pPr>
              <w:tabs>
                <w:tab w:val="right" w:pos="2438"/>
              </w:tabs>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序号</w:t>
            </w:r>
          </w:p>
        </w:tc>
        <w:tc>
          <w:tcPr>
            <w:tcW w:w="6615" w:type="dxa"/>
            <w:tcBorders>
              <w:top w:val="single" w:color="000000" w:sz="4" w:space="0"/>
              <w:left w:val="nil"/>
              <w:bottom w:val="single" w:color="000000" w:sz="4" w:space="0"/>
              <w:right w:val="single" w:color="000000" w:sz="4" w:space="0"/>
            </w:tcBorders>
            <w:vAlign w:val="center"/>
          </w:tcPr>
          <w:p w14:paraId="11F2A6AE">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承诺内容</w:t>
            </w:r>
          </w:p>
        </w:tc>
        <w:tc>
          <w:tcPr>
            <w:tcW w:w="1420" w:type="dxa"/>
            <w:tcBorders>
              <w:top w:val="single" w:color="000000" w:sz="4" w:space="0"/>
              <w:left w:val="nil"/>
              <w:bottom w:val="single" w:color="000000" w:sz="4" w:space="0"/>
              <w:right w:val="single" w:color="000000" w:sz="4" w:space="0"/>
            </w:tcBorders>
            <w:vAlign w:val="center"/>
          </w:tcPr>
          <w:p w14:paraId="74A8437C">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响应人承诺</w:t>
            </w:r>
          </w:p>
        </w:tc>
      </w:tr>
      <w:tr w14:paraId="03E061A8">
        <w:tblPrEx>
          <w:tblCellMar>
            <w:top w:w="0" w:type="dxa"/>
            <w:left w:w="108" w:type="dxa"/>
            <w:bottom w:w="0" w:type="dxa"/>
            <w:right w:w="108" w:type="dxa"/>
          </w:tblCellMar>
        </w:tblPrEx>
        <w:trPr>
          <w:trHeight w:val="567" w:hRule="atLeast"/>
        </w:trPr>
        <w:tc>
          <w:tcPr>
            <w:tcW w:w="830" w:type="dxa"/>
            <w:tcBorders>
              <w:top w:val="single" w:color="000000" w:sz="4" w:space="0"/>
              <w:left w:val="single" w:color="000000" w:sz="4" w:space="0"/>
              <w:bottom w:val="single" w:color="000000" w:sz="4" w:space="0"/>
              <w:right w:val="single" w:color="000000" w:sz="4" w:space="0"/>
            </w:tcBorders>
            <w:vAlign w:val="center"/>
          </w:tcPr>
          <w:p w14:paraId="378876BD">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1</w:t>
            </w:r>
          </w:p>
        </w:tc>
        <w:tc>
          <w:tcPr>
            <w:tcW w:w="6615" w:type="dxa"/>
            <w:tcBorders>
              <w:top w:val="single" w:color="000000" w:sz="4" w:space="0"/>
              <w:left w:val="nil"/>
              <w:bottom w:val="single" w:color="000000" w:sz="4" w:space="0"/>
              <w:right w:val="single" w:color="000000" w:sz="4" w:space="0"/>
            </w:tcBorders>
            <w:vAlign w:val="center"/>
          </w:tcPr>
          <w:p w14:paraId="4C370505">
            <w:pPr>
              <w:snapToGrid w:val="0"/>
              <w:spacing w:line="400" w:lineRule="exact"/>
              <w:jc w:val="left"/>
              <w:rPr>
                <w:rFonts w:ascii="宋体" w:hAnsi="宋体" w:cs="宋体"/>
                <w:color w:val="auto"/>
                <w:sz w:val="21"/>
                <w:szCs w:val="21"/>
                <w:highlight w:val="none"/>
              </w:rPr>
            </w:pPr>
            <w:r>
              <w:rPr>
                <w:rFonts w:hint="eastAsia" w:ascii="宋体" w:hAnsi="宋体" w:cs="宋体"/>
                <w:color w:val="auto"/>
                <w:sz w:val="21"/>
                <w:szCs w:val="21"/>
                <w:highlight w:val="none"/>
              </w:rPr>
              <w:t>我单位具有独立承担民事责任的能力。</w:t>
            </w:r>
          </w:p>
        </w:tc>
        <w:tc>
          <w:tcPr>
            <w:tcW w:w="1420" w:type="dxa"/>
            <w:tcBorders>
              <w:top w:val="single" w:color="000000" w:sz="4" w:space="0"/>
              <w:left w:val="nil"/>
              <w:bottom w:val="single" w:color="000000" w:sz="4" w:space="0"/>
              <w:right w:val="single" w:color="000000" w:sz="4" w:space="0"/>
            </w:tcBorders>
            <w:vAlign w:val="center"/>
          </w:tcPr>
          <w:p w14:paraId="74201F5A">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是</w:t>
            </w:r>
          </w:p>
        </w:tc>
      </w:tr>
      <w:tr w14:paraId="2D985FBE">
        <w:tblPrEx>
          <w:tblCellMar>
            <w:top w:w="0" w:type="dxa"/>
            <w:left w:w="108" w:type="dxa"/>
            <w:bottom w:w="0" w:type="dxa"/>
            <w:right w:w="108" w:type="dxa"/>
          </w:tblCellMar>
        </w:tblPrEx>
        <w:trPr>
          <w:trHeight w:val="567" w:hRule="atLeast"/>
        </w:trPr>
        <w:tc>
          <w:tcPr>
            <w:tcW w:w="830" w:type="dxa"/>
            <w:tcBorders>
              <w:top w:val="single" w:color="000000" w:sz="4" w:space="0"/>
              <w:left w:val="single" w:color="000000" w:sz="4" w:space="0"/>
              <w:bottom w:val="single" w:color="000000" w:sz="4" w:space="0"/>
              <w:right w:val="single" w:color="000000" w:sz="4" w:space="0"/>
            </w:tcBorders>
            <w:vAlign w:val="center"/>
          </w:tcPr>
          <w:p w14:paraId="355F7269">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2</w:t>
            </w:r>
          </w:p>
        </w:tc>
        <w:tc>
          <w:tcPr>
            <w:tcW w:w="6615" w:type="dxa"/>
            <w:tcBorders>
              <w:top w:val="single" w:color="000000" w:sz="4" w:space="0"/>
              <w:left w:val="nil"/>
              <w:bottom w:val="single" w:color="000000" w:sz="4" w:space="0"/>
              <w:right w:val="single" w:color="000000" w:sz="4" w:space="0"/>
            </w:tcBorders>
            <w:vAlign w:val="center"/>
          </w:tcPr>
          <w:p w14:paraId="7447095A">
            <w:pPr>
              <w:snapToGrid w:val="0"/>
              <w:spacing w:line="400" w:lineRule="exact"/>
              <w:jc w:val="left"/>
              <w:rPr>
                <w:rFonts w:ascii="宋体" w:hAnsi="宋体" w:cs="宋体"/>
                <w:color w:val="auto"/>
                <w:sz w:val="21"/>
                <w:szCs w:val="21"/>
                <w:highlight w:val="none"/>
              </w:rPr>
            </w:pPr>
            <w:r>
              <w:rPr>
                <w:rFonts w:hint="eastAsia" w:ascii="宋体" w:hAnsi="宋体" w:cs="宋体"/>
                <w:color w:val="auto"/>
                <w:sz w:val="21"/>
                <w:szCs w:val="21"/>
                <w:highlight w:val="none"/>
              </w:rPr>
              <w:t>我单位具有良好的商业信誉和健全的财务会计制度。</w:t>
            </w:r>
          </w:p>
        </w:tc>
        <w:tc>
          <w:tcPr>
            <w:tcW w:w="1420" w:type="dxa"/>
            <w:tcBorders>
              <w:top w:val="single" w:color="000000" w:sz="4" w:space="0"/>
              <w:left w:val="nil"/>
              <w:bottom w:val="single" w:color="000000" w:sz="4" w:space="0"/>
              <w:right w:val="single" w:color="000000" w:sz="4" w:space="0"/>
            </w:tcBorders>
            <w:vAlign w:val="center"/>
          </w:tcPr>
          <w:p w14:paraId="75B0C519">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是</w:t>
            </w:r>
          </w:p>
        </w:tc>
      </w:tr>
      <w:tr w14:paraId="713226AF">
        <w:tblPrEx>
          <w:tblCellMar>
            <w:top w:w="0" w:type="dxa"/>
            <w:left w:w="108" w:type="dxa"/>
            <w:bottom w:w="0" w:type="dxa"/>
            <w:right w:w="108" w:type="dxa"/>
          </w:tblCellMar>
        </w:tblPrEx>
        <w:trPr>
          <w:trHeight w:val="567" w:hRule="atLeast"/>
        </w:trPr>
        <w:tc>
          <w:tcPr>
            <w:tcW w:w="830" w:type="dxa"/>
            <w:tcBorders>
              <w:top w:val="single" w:color="000000" w:sz="4" w:space="0"/>
              <w:left w:val="single" w:color="000000" w:sz="4" w:space="0"/>
              <w:bottom w:val="single" w:color="000000" w:sz="4" w:space="0"/>
              <w:right w:val="single" w:color="000000" w:sz="4" w:space="0"/>
            </w:tcBorders>
            <w:vAlign w:val="center"/>
          </w:tcPr>
          <w:p w14:paraId="32D746A3">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3</w:t>
            </w:r>
          </w:p>
        </w:tc>
        <w:tc>
          <w:tcPr>
            <w:tcW w:w="6615" w:type="dxa"/>
            <w:tcBorders>
              <w:top w:val="single" w:color="000000" w:sz="4" w:space="0"/>
              <w:left w:val="nil"/>
              <w:bottom w:val="single" w:color="000000" w:sz="4" w:space="0"/>
              <w:right w:val="single" w:color="000000" w:sz="4" w:space="0"/>
            </w:tcBorders>
            <w:vAlign w:val="center"/>
          </w:tcPr>
          <w:p w14:paraId="288968A7">
            <w:pPr>
              <w:snapToGrid w:val="0"/>
              <w:spacing w:line="400" w:lineRule="exact"/>
              <w:jc w:val="left"/>
              <w:rPr>
                <w:rFonts w:ascii="宋体" w:hAnsi="宋体" w:cs="宋体"/>
                <w:color w:val="auto"/>
                <w:sz w:val="21"/>
                <w:szCs w:val="21"/>
                <w:highlight w:val="none"/>
              </w:rPr>
            </w:pPr>
            <w:r>
              <w:rPr>
                <w:rFonts w:hint="eastAsia" w:ascii="宋体" w:hAnsi="宋体" w:cs="宋体"/>
                <w:color w:val="auto"/>
                <w:sz w:val="21"/>
                <w:szCs w:val="21"/>
                <w:highlight w:val="none"/>
              </w:rPr>
              <w:t>我单位具有履行合同所必需的设备和专业技术能力。</w:t>
            </w:r>
          </w:p>
        </w:tc>
        <w:tc>
          <w:tcPr>
            <w:tcW w:w="1420" w:type="dxa"/>
            <w:tcBorders>
              <w:top w:val="single" w:color="000000" w:sz="4" w:space="0"/>
              <w:left w:val="nil"/>
              <w:bottom w:val="single" w:color="000000" w:sz="4" w:space="0"/>
              <w:right w:val="single" w:color="000000" w:sz="4" w:space="0"/>
            </w:tcBorders>
            <w:vAlign w:val="center"/>
          </w:tcPr>
          <w:p w14:paraId="2CB0CC68">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是</w:t>
            </w:r>
          </w:p>
        </w:tc>
      </w:tr>
      <w:tr w14:paraId="7D905CCB">
        <w:tblPrEx>
          <w:tblCellMar>
            <w:top w:w="0" w:type="dxa"/>
            <w:left w:w="108" w:type="dxa"/>
            <w:bottom w:w="0" w:type="dxa"/>
            <w:right w:w="108" w:type="dxa"/>
          </w:tblCellMar>
        </w:tblPrEx>
        <w:trPr>
          <w:trHeight w:val="567" w:hRule="atLeast"/>
        </w:trPr>
        <w:tc>
          <w:tcPr>
            <w:tcW w:w="830" w:type="dxa"/>
            <w:tcBorders>
              <w:top w:val="single" w:color="000000" w:sz="4" w:space="0"/>
              <w:left w:val="single" w:color="000000" w:sz="4" w:space="0"/>
              <w:bottom w:val="single" w:color="000000" w:sz="4" w:space="0"/>
              <w:right w:val="single" w:color="000000" w:sz="4" w:space="0"/>
            </w:tcBorders>
            <w:vAlign w:val="center"/>
          </w:tcPr>
          <w:p w14:paraId="221966FF">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4</w:t>
            </w:r>
          </w:p>
        </w:tc>
        <w:tc>
          <w:tcPr>
            <w:tcW w:w="6615" w:type="dxa"/>
            <w:tcBorders>
              <w:top w:val="single" w:color="000000" w:sz="4" w:space="0"/>
              <w:left w:val="nil"/>
              <w:bottom w:val="single" w:color="000000" w:sz="4" w:space="0"/>
              <w:right w:val="single" w:color="000000" w:sz="4" w:space="0"/>
            </w:tcBorders>
            <w:vAlign w:val="center"/>
          </w:tcPr>
          <w:p w14:paraId="41E7B1DA">
            <w:pPr>
              <w:snapToGrid w:val="0"/>
              <w:spacing w:line="400" w:lineRule="exact"/>
              <w:jc w:val="left"/>
              <w:rPr>
                <w:rFonts w:ascii="宋体" w:hAnsi="宋体" w:cs="宋体"/>
                <w:color w:val="auto"/>
                <w:sz w:val="21"/>
                <w:szCs w:val="21"/>
                <w:highlight w:val="none"/>
              </w:rPr>
            </w:pPr>
            <w:r>
              <w:rPr>
                <w:rFonts w:hint="eastAsia" w:ascii="宋体" w:hAnsi="宋体" w:cs="宋体"/>
                <w:color w:val="auto"/>
                <w:sz w:val="21"/>
                <w:szCs w:val="21"/>
                <w:highlight w:val="none"/>
              </w:rPr>
              <w:t>我单位有依法缴纳税收和社会保障资金的良好记录。</w:t>
            </w:r>
          </w:p>
        </w:tc>
        <w:tc>
          <w:tcPr>
            <w:tcW w:w="1420" w:type="dxa"/>
            <w:tcBorders>
              <w:top w:val="single" w:color="000000" w:sz="4" w:space="0"/>
              <w:left w:val="nil"/>
              <w:bottom w:val="single" w:color="000000" w:sz="4" w:space="0"/>
              <w:right w:val="single" w:color="000000" w:sz="4" w:space="0"/>
            </w:tcBorders>
            <w:vAlign w:val="center"/>
          </w:tcPr>
          <w:p w14:paraId="73952D8B">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是</w:t>
            </w:r>
          </w:p>
        </w:tc>
      </w:tr>
      <w:tr w14:paraId="64C393F5">
        <w:tblPrEx>
          <w:tblCellMar>
            <w:top w:w="0" w:type="dxa"/>
            <w:left w:w="108" w:type="dxa"/>
            <w:bottom w:w="0" w:type="dxa"/>
            <w:right w:w="108" w:type="dxa"/>
          </w:tblCellMar>
        </w:tblPrEx>
        <w:trPr>
          <w:trHeight w:val="567" w:hRule="atLeast"/>
        </w:trPr>
        <w:tc>
          <w:tcPr>
            <w:tcW w:w="830" w:type="dxa"/>
            <w:tcBorders>
              <w:top w:val="single" w:color="000000" w:sz="4" w:space="0"/>
              <w:left w:val="single" w:color="000000" w:sz="4" w:space="0"/>
              <w:bottom w:val="single" w:color="000000" w:sz="4" w:space="0"/>
              <w:right w:val="single" w:color="000000" w:sz="4" w:space="0"/>
            </w:tcBorders>
            <w:vAlign w:val="center"/>
          </w:tcPr>
          <w:p w14:paraId="19145F57">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5</w:t>
            </w:r>
          </w:p>
        </w:tc>
        <w:tc>
          <w:tcPr>
            <w:tcW w:w="6615" w:type="dxa"/>
            <w:tcBorders>
              <w:top w:val="single" w:color="000000" w:sz="4" w:space="0"/>
              <w:left w:val="nil"/>
              <w:bottom w:val="single" w:color="000000" w:sz="4" w:space="0"/>
              <w:right w:val="single" w:color="000000" w:sz="4" w:space="0"/>
            </w:tcBorders>
            <w:vAlign w:val="center"/>
          </w:tcPr>
          <w:p w14:paraId="7458D4D9">
            <w:pPr>
              <w:snapToGrid w:val="0"/>
              <w:spacing w:line="400" w:lineRule="exact"/>
              <w:jc w:val="left"/>
              <w:rPr>
                <w:rFonts w:ascii="宋体" w:hAnsi="宋体" w:cs="宋体"/>
                <w:color w:val="auto"/>
                <w:sz w:val="21"/>
                <w:szCs w:val="21"/>
                <w:highlight w:val="none"/>
              </w:rPr>
            </w:pPr>
            <w:r>
              <w:rPr>
                <w:rFonts w:hint="eastAsia" w:ascii="宋体" w:hAnsi="宋体" w:cs="宋体"/>
                <w:color w:val="auto"/>
                <w:sz w:val="21"/>
                <w:szCs w:val="21"/>
                <w:highlight w:val="none"/>
              </w:rPr>
              <w:t>我单位参加本次采购活动前三年内，在经营活动中没有重大违法记录。（重大违法记录，是指响应人因违法经营受到刑事处罚或者责令停产停业、吊销许可证或者执照、较大数额罚款等行政处罚。）</w:t>
            </w:r>
          </w:p>
        </w:tc>
        <w:tc>
          <w:tcPr>
            <w:tcW w:w="1420" w:type="dxa"/>
            <w:tcBorders>
              <w:top w:val="single" w:color="000000" w:sz="4" w:space="0"/>
              <w:left w:val="nil"/>
              <w:bottom w:val="single" w:color="000000" w:sz="4" w:space="0"/>
              <w:right w:val="single" w:color="000000" w:sz="4" w:space="0"/>
            </w:tcBorders>
            <w:vAlign w:val="center"/>
          </w:tcPr>
          <w:p w14:paraId="1E9A23C8">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是</w:t>
            </w:r>
          </w:p>
        </w:tc>
      </w:tr>
      <w:tr w14:paraId="1B2A41C9">
        <w:tblPrEx>
          <w:tblCellMar>
            <w:top w:w="0" w:type="dxa"/>
            <w:left w:w="108" w:type="dxa"/>
            <w:bottom w:w="0" w:type="dxa"/>
            <w:right w:w="108" w:type="dxa"/>
          </w:tblCellMar>
        </w:tblPrEx>
        <w:trPr>
          <w:trHeight w:val="699" w:hRule="atLeast"/>
        </w:trPr>
        <w:tc>
          <w:tcPr>
            <w:tcW w:w="830" w:type="dxa"/>
            <w:tcBorders>
              <w:top w:val="single" w:color="000000" w:sz="4" w:space="0"/>
              <w:left w:val="single" w:color="000000" w:sz="4" w:space="0"/>
              <w:bottom w:val="single" w:color="000000" w:sz="4" w:space="0"/>
              <w:right w:val="single" w:color="000000" w:sz="4" w:space="0"/>
            </w:tcBorders>
            <w:vAlign w:val="center"/>
          </w:tcPr>
          <w:p w14:paraId="41353733">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6</w:t>
            </w:r>
          </w:p>
        </w:tc>
        <w:tc>
          <w:tcPr>
            <w:tcW w:w="6615" w:type="dxa"/>
            <w:tcBorders>
              <w:top w:val="single" w:color="000000" w:sz="4" w:space="0"/>
              <w:left w:val="nil"/>
              <w:bottom w:val="single" w:color="000000" w:sz="4" w:space="0"/>
              <w:right w:val="single" w:color="000000" w:sz="4" w:space="0"/>
            </w:tcBorders>
            <w:vAlign w:val="center"/>
          </w:tcPr>
          <w:p w14:paraId="49CC2269">
            <w:pPr>
              <w:snapToGrid w:val="0"/>
              <w:spacing w:line="400" w:lineRule="exact"/>
              <w:jc w:val="left"/>
              <w:rPr>
                <w:rFonts w:ascii="宋体" w:hAnsi="宋体" w:cs="宋体"/>
                <w:color w:val="auto"/>
                <w:sz w:val="21"/>
                <w:szCs w:val="21"/>
                <w:highlight w:val="none"/>
              </w:rPr>
            </w:pPr>
            <w:r>
              <w:rPr>
                <w:rFonts w:hint="eastAsia" w:ascii="宋体" w:hAnsi="宋体" w:cs="宋体"/>
                <w:color w:val="auto"/>
                <w:sz w:val="21"/>
                <w:szCs w:val="21"/>
                <w:highlight w:val="none"/>
              </w:rPr>
              <w:t>我单位遵守法律、行政法规规定的其他条件。</w:t>
            </w:r>
          </w:p>
        </w:tc>
        <w:tc>
          <w:tcPr>
            <w:tcW w:w="1420" w:type="dxa"/>
            <w:tcBorders>
              <w:top w:val="single" w:color="000000" w:sz="4" w:space="0"/>
              <w:left w:val="nil"/>
              <w:bottom w:val="single" w:color="000000" w:sz="4" w:space="0"/>
              <w:right w:val="single" w:color="000000" w:sz="4" w:space="0"/>
            </w:tcBorders>
            <w:vAlign w:val="center"/>
          </w:tcPr>
          <w:p w14:paraId="2FAFDCA5">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是</w:t>
            </w:r>
          </w:p>
        </w:tc>
      </w:tr>
    </w:tbl>
    <w:p w14:paraId="44E220CC">
      <w:pPr>
        <w:snapToGrid w:val="0"/>
        <w:spacing w:line="440" w:lineRule="exact"/>
        <w:rPr>
          <w:rFonts w:ascii="宋体" w:hAnsi="宋体" w:cs="宋体"/>
          <w:b/>
          <w:bCs/>
          <w:color w:val="auto"/>
          <w:sz w:val="21"/>
          <w:szCs w:val="21"/>
          <w:highlight w:val="none"/>
        </w:rPr>
      </w:pPr>
      <w:r>
        <w:rPr>
          <w:rFonts w:hint="eastAsia" w:ascii="宋体" w:hAnsi="宋体" w:cs="宋体"/>
          <w:b/>
          <w:bCs/>
          <w:color w:val="auto"/>
          <w:sz w:val="21"/>
          <w:szCs w:val="21"/>
          <w:highlight w:val="none"/>
        </w:rPr>
        <w:t>说明：1.无此表或对此表作实质性修改，响应无效。</w:t>
      </w:r>
    </w:p>
    <w:p w14:paraId="605C61B3">
      <w:pPr>
        <w:snapToGrid w:val="0"/>
        <w:spacing w:line="440" w:lineRule="exact"/>
        <w:ind w:firstLine="632" w:firstLineChars="300"/>
        <w:rPr>
          <w:rFonts w:ascii="宋体" w:hAnsi="宋体" w:cs="宋体"/>
          <w:b/>
          <w:bCs/>
          <w:color w:val="auto"/>
          <w:sz w:val="21"/>
          <w:szCs w:val="21"/>
          <w:highlight w:val="none"/>
        </w:rPr>
      </w:pPr>
      <w:r>
        <w:rPr>
          <w:rFonts w:hint="eastAsia" w:ascii="宋体" w:hAnsi="宋体" w:cs="宋体"/>
          <w:b/>
          <w:bCs/>
          <w:color w:val="auto"/>
          <w:sz w:val="21"/>
          <w:szCs w:val="21"/>
          <w:highlight w:val="none"/>
        </w:rPr>
        <w:t>2.响应人须对此表中内容作出承诺，否则响应无效。</w:t>
      </w:r>
    </w:p>
    <w:p w14:paraId="3C692045">
      <w:pPr>
        <w:pStyle w:val="12"/>
        <w:spacing w:line="440" w:lineRule="exact"/>
        <w:rPr>
          <w:rFonts w:hint="default" w:ascii="宋体" w:hAnsi="宋体" w:eastAsia="宋体" w:cs="宋体"/>
          <w:color w:val="auto"/>
          <w:sz w:val="21"/>
          <w:szCs w:val="21"/>
          <w:highlight w:val="none"/>
        </w:rPr>
      </w:pPr>
      <w:r>
        <w:rPr>
          <w:rFonts w:ascii="宋体" w:hAnsi="宋体" w:eastAsia="宋体" w:cs="宋体"/>
          <w:b/>
          <w:bCs/>
          <w:color w:val="auto"/>
          <w:sz w:val="21"/>
          <w:szCs w:val="21"/>
          <w:highlight w:val="none"/>
        </w:rPr>
        <w:t xml:space="preserve">      3.采购人或采购代理机构可以根据此表查询响应人承诺事项，响应人的承诺和查询结果不一致的，以查询结果为准。</w:t>
      </w:r>
    </w:p>
    <w:p w14:paraId="6AF1FD11">
      <w:pPr>
        <w:spacing w:line="440" w:lineRule="exact"/>
        <w:rPr>
          <w:rFonts w:ascii="宋体" w:hAnsi="宋体" w:cs="宋体"/>
          <w:color w:val="auto"/>
          <w:sz w:val="21"/>
          <w:szCs w:val="21"/>
          <w:highlight w:val="none"/>
        </w:rPr>
      </w:pPr>
    </w:p>
    <w:p w14:paraId="5EBBDCCE">
      <w:pPr>
        <w:spacing w:line="44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 xml:space="preserve">响应人（盖章）：                 </w:t>
      </w:r>
    </w:p>
    <w:p w14:paraId="12C625CB">
      <w:pPr>
        <w:spacing w:line="44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法定代表人或委托代理人（签字或盖章）：</w:t>
      </w:r>
    </w:p>
    <w:p w14:paraId="4CD2E645">
      <w:pPr>
        <w:spacing w:line="44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日期：______年______月______日</w:t>
      </w:r>
    </w:p>
    <w:p w14:paraId="50C0527C">
      <w:pPr>
        <w:rPr>
          <w:color w:val="auto"/>
          <w:sz w:val="21"/>
          <w:szCs w:val="21"/>
          <w:highlight w:val="none"/>
        </w:rPr>
      </w:pPr>
    </w:p>
    <w:p w14:paraId="0597B6E5">
      <w:pPr>
        <w:rPr>
          <w:color w:val="auto"/>
          <w:sz w:val="21"/>
          <w:szCs w:val="21"/>
          <w:highlight w:val="none"/>
        </w:rPr>
      </w:pPr>
      <w:r>
        <w:rPr>
          <w:color w:val="auto"/>
          <w:sz w:val="21"/>
          <w:szCs w:val="21"/>
          <w:highlight w:val="none"/>
        </w:rPr>
        <w:br w:type="page"/>
      </w:r>
    </w:p>
    <w:p w14:paraId="5511F05B">
      <w:pPr>
        <w:spacing w:line="360" w:lineRule="auto"/>
        <w:jc w:val="center"/>
        <w:rPr>
          <w:rFonts w:hint="eastAsia" w:ascii="宋体" w:hAnsi="宋体" w:eastAsia="宋体" w:cs="宋体"/>
          <w:b/>
          <w:bCs/>
          <w:color w:val="auto"/>
          <w:sz w:val="21"/>
          <w:szCs w:val="21"/>
        </w:rPr>
      </w:pPr>
      <w:r>
        <w:rPr>
          <w:rFonts w:hint="eastAsia" w:cs="宋体"/>
          <w:b/>
          <w:bCs/>
          <w:color w:val="auto"/>
          <w:sz w:val="21"/>
          <w:szCs w:val="21"/>
          <w:highlight w:val="none"/>
          <w:lang w:val="en-US" w:eastAsia="zh-CN" w:bidi="ar"/>
        </w:rPr>
        <w:t xml:space="preserve">附件七 </w:t>
      </w:r>
      <w:r>
        <w:rPr>
          <w:rFonts w:hint="eastAsia" w:ascii="宋体" w:hAnsi="宋体" w:eastAsia="宋体" w:cs="宋体"/>
          <w:b/>
          <w:bCs/>
          <w:color w:val="auto"/>
          <w:sz w:val="21"/>
          <w:szCs w:val="21"/>
        </w:rPr>
        <w:t>招标要求偏离表</w:t>
      </w:r>
    </w:p>
    <w:p w14:paraId="4C56EA51">
      <w:pPr>
        <w:tabs>
          <w:tab w:val="left" w:pos="1800"/>
          <w:tab w:val="left" w:pos="5580"/>
        </w:tabs>
        <w:spacing w:line="360" w:lineRule="auto"/>
        <w:ind w:firstLine="315" w:firstLineChars="150"/>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  项目名称_______________________</w:t>
      </w:r>
    </w:p>
    <w:tbl>
      <w:tblPr>
        <w:tblStyle w:val="27"/>
        <w:tblW w:w="96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1482"/>
        <w:gridCol w:w="2384"/>
        <w:gridCol w:w="2126"/>
        <w:gridCol w:w="1875"/>
        <w:gridCol w:w="1009"/>
      </w:tblGrid>
      <w:tr w14:paraId="3C608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jc w:val="center"/>
        </w:trPr>
        <w:tc>
          <w:tcPr>
            <w:tcW w:w="775" w:type="dxa"/>
            <w:vAlign w:val="center"/>
          </w:tcPr>
          <w:p w14:paraId="11390728">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1482" w:type="dxa"/>
            <w:vAlign w:val="center"/>
          </w:tcPr>
          <w:p w14:paraId="4045BA4C">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内容</w:t>
            </w:r>
          </w:p>
        </w:tc>
        <w:tc>
          <w:tcPr>
            <w:tcW w:w="2384" w:type="dxa"/>
            <w:vAlign w:val="center"/>
          </w:tcPr>
          <w:p w14:paraId="3D238911">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招标要求</w:t>
            </w:r>
          </w:p>
        </w:tc>
        <w:tc>
          <w:tcPr>
            <w:tcW w:w="2126" w:type="dxa"/>
            <w:vAlign w:val="center"/>
          </w:tcPr>
          <w:p w14:paraId="035B642F">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投标内容</w:t>
            </w:r>
          </w:p>
        </w:tc>
        <w:tc>
          <w:tcPr>
            <w:tcW w:w="1875" w:type="dxa"/>
            <w:vAlign w:val="center"/>
          </w:tcPr>
          <w:p w14:paraId="01F06375">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偏离情况</w:t>
            </w:r>
          </w:p>
          <w:p w14:paraId="6259607E">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（据实填写）</w:t>
            </w:r>
          </w:p>
        </w:tc>
        <w:tc>
          <w:tcPr>
            <w:tcW w:w="1009" w:type="dxa"/>
            <w:vAlign w:val="center"/>
          </w:tcPr>
          <w:p w14:paraId="735D7D7B">
            <w:pPr>
              <w:adjustRightInd w:val="0"/>
              <w:snapToGrid w:val="0"/>
              <w:jc w:val="center"/>
              <w:rPr>
                <w:rFonts w:hint="eastAsia" w:ascii="宋体" w:hAnsi="宋体" w:eastAsia="宋体" w:cs="宋体"/>
                <w:color w:val="auto"/>
                <w:sz w:val="21"/>
                <w:szCs w:val="21"/>
              </w:rPr>
            </w:pPr>
            <w:r>
              <w:rPr>
                <w:rFonts w:hint="eastAsia" w:ascii="宋体" w:hAnsi="宋体" w:eastAsia="宋体" w:cs="宋体"/>
                <w:color w:val="auto"/>
                <w:sz w:val="21"/>
                <w:szCs w:val="21"/>
              </w:rPr>
              <w:t>说明</w:t>
            </w:r>
          </w:p>
        </w:tc>
      </w:tr>
      <w:tr w14:paraId="43586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5" w:type="dxa"/>
            <w:vAlign w:val="center"/>
          </w:tcPr>
          <w:p w14:paraId="74623C84">
            <w:pPr>
              <w:adjustRightInd w:val="0"/>
              <w:snapToGrid w:val="0"/>
              <w:jc w:val="center"/>
              <w:rPr>
                <w:rFonts w:hint="eastAsia" w:ascii="宋体" w:hAnsi="宋体" w:eastAsia="宋体" w:cs="宋体"/>
                <w:color w:val="auto"/>
                <w:sz w:val="21"/>
                <w:szCs w:val="21"/>
              </w:rPr>
            </w:pPr>
          </w:p>
        </w:tc>
        <w:tc>
          <w:tcPr>
            <w:tcW w:w="1482" w:type="dxa"/>
            <w:vAlign w:val="center"/>
          </w:tcPr>
          <w:p w14:paraId="7FFD631B">
            <w:pPr>
              <w:adjustRightInd w:val="0"/>
              <w:snapToGrid w:val="0"/>
              <w:jc w:val="center"/>
              <w:rPr>
                <w:rFonts w:hint="eastAsia" w:ascii="宋体" w:hAnsi="宋体" w:eastAsia="宋体" w:cs="宋体"/>
                <w:color w:val="auto"/>
                <w:sz w:val="21"/>
                <w:szCs w:val="21"/>
              </w:rPr>
            </w:pPr>
          </w:p>
        </w:tc>
        <w:tc>
          <w:tcPr>
            <w:tcW w:w="2384" w:type="dxa"/>
            <w:vAlign w:val="center"/>
          </w:tcPr>
          <w:p w14:paraId="7FB4883E">
            <w:pPr>
              <w:adjustRightInd w:val="0"/>
              <w:snapToGrid w:val="0"/>
              <w:jc w:val="center"/>
              <w:rPr>
                <w:rFonts w:hint="eastAsia" w:ascii="宋体" w:hAnsi="宋体" w:eastAsia="宋体" w:cs="宋体"/>
                <w:color w:val="auto"/>
                <w:sz w:val="21"/>
                <w:szCs w:val="21"/>
              </w:rPr>
            </w:pPr>
          </w:p>
        </w:tc>
        <w:tc>
          <w:tcPr>
            <w:tcW w:w="2126" w:type="dxa"/>
            <w:vAlign w:val="center"/>
          </w:tcPr>
          <w:p w14:paraId="6A447BF5">
            <w:pPr>
              <w:adjustRightInd w:val="0"/>
              <w:snapToGrid w:val="0"/>
              <w:jc w:val="center"/>
              <w:rPr>
                <w:rFonts w:hint="eastAsia" w:ascii="宋体" w:hAnsi="宋体" w:eastAsia="宋体" w:cs="宋体"/>
                <w:color w:val="auto"/>
                <w:sz w:val="21"/>
                <w:szCs w:val="21"/>
              </w:rPr>
            </w:pPr>
          </w:p>
        </w:tc>
        <w:tc>
          <w:tcPr>
            <w:tcW w:w="1875" w:type="dxa"/>
            <w:vAlign w:val="center"/>
          </w:tcPr>
          <w:p w14:paraId="21D4507E">
            <w:pPr>
              <w:adjustRightInd w:val="0"/>
              <w:snapToGrid w:val="0"/>
              <w:jc w:val="center"/>
              <w:rPr>
                <w:rFonts w:hint="eastAsia" w:ascii="宋体" w:hAnsi="宋体" w:eastAsia="宋体" w:cs="宋体"/>
                <w:color w:val="auto"/>
                <w:sz w:val="21"/>
                <w:szCs w:val="21"/>
              </w:rPr>
            </w:pPr>
          </w:p>
        </w:tc>
        <w:tc>
          <w:tcPr>
            <w:tcW w:w="1009" w:type="dxa"/>
            <w:vAlign w:val="center"/>
          </w:tcPr>
          <w:p w14:paraId="5940DE1F">
            <w:pPr>
              <w:adjustRightInd w:val="0"/>
              <w:snapToGrid w:val="0"/>
              <w:jc w:val="center"/>
              <w:rPr>
                <w:rFonts w:hint="eastAsia" w:ascii="宋体" w:hAnsi="宋体" w:eastAsia="宋体" w:cs="宋体"/>
                <w:color w:val="auto"/>
                <w:sz w:val="21"/>
                <w:szCs w:val="21"/>
              </w:rPr>
            </w:pPr>
          </w:p>
        </w:tc>
      </w:tr>
      <w:tr w14:paraId="30BAA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5" w:type="dxa"/>
            <w:vAlign w:val="center"/>
          </w:tcPr>
          <w:p w14:paraId="5651E86B">
            <w:pPr>
              <w:adjustRightInd w:val="0"/>
              <w:snapToGrid w:val="0"/>
              <w:jc w:val="center"/>
              <w:rPr>
                <w:rFonts w:hint="eastAsia" w:ascii="宋体" w:hAnsi="宋体" w:eastAsia="宋体" w:cs="宋体"/>
                <w:color w:val="auto"/>
                <w:sz w:val="21"/>
                <w:szCs w:val="21"/>
              </w:rPr>
            </w:pPr>
          </w:p>
        </w:tc>
        <w:tc>
          <w:tcPr>
            <w:tcW w:w="1482" w:type="dxa"/>
            <w:vAlign w:val="center"/>
          </w:tcPr>
          <w:p w14:paraId="770C8F2F">
            <w:pPr>
              <w:adjustRightInd w:val="0"/>
              <w:snapToGrid w:val="0"/>
              <w:jc w:val="center"/>
              <w:rPr>
                <w:rFonts w:hint="eastAsia" w:ascii="宋体" w:hAnsi="宋体" w:eastAsia="宋体" w:cs="宋体"/>
                <w:color w:val="auto"/>
                <w:sz w:val="21"/>
                <w:szCs w:val="21"/>
              </w:rPr>
            </w:pPr>
          </w:p>
        </w:tc>
        <w:tc>
          <w:tcPr>
            <w:tcW w:w="2384" w:type="dxa"/>
            <w:vAlign w:val="center"/>
          </w:tcPr>
          <w:p w14:paraId="75660D5A">
            <w:pPr>
              <w:adjustRightInd w:val="0"/>
              <w:snapToGrid w:val="0"/>
              <w:jc w:val="center"/>
              <w:rPr>
                <w:rFonts w:hint="eastAsia" w:ascii="宋体" w:hAnsi="宋体" w:eastAsia="宋体" w:cs="宋体"/>
                <w:color w:val="auto"/>
                <w:sz w:val="21"/>
                <w:szCs w:val="21"/>
              </w:rPr>
            </w:pPr>
          </w:p>
        </w:tc>
        <w:tc>
          <w:tcPr>
            <w:tcW w:w="2126" w:type="dxa"/>
            <w:vAlign w:val="center"/>
          </w:tcPr>
          <w:p w14:paraId="4AF9BE46">
            <w:pPr>
              <w:adjustRightInd w:val="0"/>
              <w:snapToGrid w:val="0"/>
              <w:jc w:val="center"/>
              <w:rPr>
                <w:rFonts w:hint="eastAsia" w:ascii="宋体" w:hAnsi="宋体" w:eastAsia="宋体" w:cs="宋体"/>
                <w:color w:val="auto"/>
                <w:sz w:val="21"/>
                <w:szCs w:val="21"/>
              </w:rPr>
            </w:pPr>
          </w:p>
        </w:tc>
        <w:tc>
          <w:tcPr>
            <w:tcW w:w="1875" w:type="dxa"/>
            <w:vAlign w:val="center"/>
          </w:tcPr>
          <w:p w14:paraId="47CF0333">
            <w:pPr>
              <w:adjustRightInd w:val="0"/>
              <w:snapToGrid w:val="0"/>
              <w:jc w:val="center"/>
              <w:rPr>
                <w:rFonts w:hint="eastAsia" w:ascii="宋体" w:hAnsi="宋体" w:eastAsia="宋体" w:cs="宋体"/>
                <w:color w:val="auto"/>
                <w:sz w:val="21"/>
                <w:szCs w:val="21"/>
              </w:rPr>
            </w:pPr>
          </w:p>
        </w:tc>
        <w:tc>
          <w:tcPr>
            <w:tcW w:w="1009" w:type="dxa"/>
            <w:vAlign w:val="center"/>
          </w:tcPr>
          <w:p w14:paraId="0078C8CC">
            <w:pPr>
              <w:adjustRightInd w:val="0"/>
              <w:snapToGrid w:val="0"/>
              <w:jc w:val="center"/>
              <w:rPr>
                <w:rFonts w:hint="eastAsia" w:ascii="宋体" w:hAnsi="宋体" w:eastAsia="宋体" w:cs="宋体"/>
                <w:color w:val="auto"/>
                <w:sz w:val="21"/>
                <w:szCs w:val="21"/>
              </w:rPr>
            </w:pPr>
          </w:p>
        </w:tc>
      </w:tr>
      <w:tr w14:paraId="6F4B3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5" w:type="dxa"/>
            <w:vAlign w:val="center"/>
          </w:tcPr>
          <w:p w14:paraId="52DE769D">
            <w:pPr>
              <w:adjustRightInd w:val="0"/>
              <w:snapToGrid w:val="0"/>
              <w:jc w:val="center"/>
              <w:rPr>
                <w:rFonts w:hint="eastAsia" w:ascii="宋体" w:hAnsi="宋体" w:eastAsia="宋体" w:cs="宋体"/>
                <w:color w:val="auto"/>
                <w:sz w:val="21"/>
                <w:szCs w:val="21"/>
              </w:rPr>
            </w:pPr>
          </w:p>
        </w:tc>
        <w:tc>
          <w:tcPr>
            <w:tcW w:w="1482" w:type="dxa"/>
            <w:vAlign w:val="center"/>
          </w:tcPr>
          <w:p w14:paraId="4E8BAAA2">
            <w:pPr>
              <w:adjustRightInd w:val="0"/>
              <w:snapToGrid w:val="0"/>
              <w:jc w:val="center"/>
              <w:rPr>
                <w:rFonts w:hint="eastAsia" w:ascii="宋体" w:hAnsi="宋体" w:eastAsia="宋体" w:cs="宋体"/>
                <w:color w:val="auto"/>
                <w:sz w:val="21"/>
                <w:szCs w:val="21"/>
              </w:rPr>
            </w:pPr>
          </w:p>
        </w:tc>
        <w:tc>
          <w:tcPr>
            <w:tcW w:w="2384" w:type="dxa"/>
            <w:vAlign w:val="center"/>
          </w:tcPr>
          <w:p w14:paraId="71E4C2F9">
            <w:pPr>
              <w:adjustRightInd w:val="0"/>
              <w:snapToGrid w:val="0"/>
              <w:jc w:val="center"/>
              <w:rPr>
                <w:rFonts w:hint="eastAsia" w:ascii="宋体" w:hAnsi="宋体" w:eastAsia="宋体" w:cs="宋体"/>
                <w:color w:val="auto"/>
                <w:sz w:val="21"/>
                <w:szCs w:val="21"/>
              </w:rPr>
            </w:pPr>
          </w:p>
        </w:tc>
        <w:tc>
          <w:tcPr>
            <w:tcW w:w="2126" w:type="dxa"/>
            <w:vAlign w:val="center"/>
          </w:tcPr>
          <w:p w14:paraId="25827CA3">
            <w:pPr>
              <w:adjustRightInd w:val="0"/>
              <w:snapToGrid w:val="0"/>
              <w:jc w:val="center"/>
              <w:rPr>
                <w:rFonts w:hint="eastAsia" w:ascii="宋体" w:hAnsi="宋体" w:eastAsia="宋体" w:cs="宋体"/>
                <w:color w:val="auto"/>
                <w:sz w:val="21"/>
                <w:szCs w:val="21"/>
              </w:rPr>
            </w:pPr>
          </w:p>
        </w:tc>
        <w:tc>
          <w:tcPr>
            <w:tcW w:w="1875" w:type="dxa"/>
            <w:vAlign w:val="center"/>
          </w:tcPr>
          <w:p w14:paraId="71E735BB">
            <w:pPr>
              <w:adjustRightInd w:val="0"/>
              <w:snapToGrid w:val="0"/>
              <w:jc w:val="center"/>
              <w:rPr>
                <w:rFonts w:hint="eastAsia" w:ascii="宋体" w:hAnsi="宋体" w:eastAsia="宋体" w:cs="宋体"/>
                <w:color w:val="auto"/>
                <w:sz w:val="21"/>
                <w:szCs w:val="21"/>
              </w:rPr>
            </w:pPr>
          </w:p>
        </w:tc>
        <w:tc>
          <w:tcPr>
            <w:tcW w:w="1009" w:type="dxa"/>
            <w:vAlign w:val="center"/>
          </w:tcPr>
          <w:p w14:paraId="54659A6F">
            <w:pPr>
              <w:adjustRightInd w:val="0"/>
              <w:snapToGrid w:val="0"/>
              <w:jc w:val="center"/>
              <w:rPr>
                <w:rFonts w:hint="eastAsia" w:ascii="宋体" w:hAnsi="宋体" w:eastAsia="宋体" w:cs="宋体"/>
                <w:color w:val="auto"/>
                <w:sz w:val="21"/>
                <w:szCs w:val="21"/>
              </w:rPr>
            </w:pPr>
          </w:p>
        </w:tc>
      </w:tr>
      <w:tr w14:paraId="5D292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5" w:type="dxa"/>
            <w:vAlign w:val="center"/>
          </w:tcPr>
          <w:p w14:paraId="13BF3EC5">
            <w:pPr>
              <w:adjustRightInd w:val="0"/>
              <w:snapToGrid w:val="0"/>
              <w:jc w:val="center"/>
              <w:rPr>
                <w:rFonts w:hint="eastAsia" w:ascii="宋体" w:hAnsi="宋体" w:eastAsia="宋体" w:cs="宋体"/>
                <w:color w:val="auto"/>
                <w:sz w:val="21"/>
                <w:szCs w:val="21"/>
              </w:rPr>
            </w:pPr>
          </w:p>
        </w:tc>
        <w:tc>
          <w:tcPr>
            <w:tcW w:w="1482" w:type="dxa"/>
            <w:vAlign w:val="center"/>
          </w:tcPr>
          <w:p w14:paraId="625B5293">
            <w:pPr>
              <w:adjustRightInd w:val="0"/>
              <w:snapToGrid w:val="0"/>
              <w:jc w:val="center"/>
              <w:rPr>
                <w:rFonts w:hint="eastAsia" w:ascii="宋体" w:hAnsi="宋体" w:eastAsia="宋体" w:cs="宋体"/>
                <w:color w:val="auto"/>
                <w:sz w:val="21"/>
                <w:szCs w:val="21"/>
              </w:rPr>
            </w:pPr>
          </w:p>
        </w:tc>
        <w:tc>
          <w:tcPr>
            <w:tcW w:w="2384" w:type="dxa"/>
            <w:vAlign w:val="center"/>
          </w:tcPr>
          <w:p w14:paraId="418FD8FB">
            <w:pPr>
              <w:adjustRightInd w:val="0"/>
              <w:snapToGrid w:val="0"/>
              <w:jc w:val="center"/>
              <w:rPr>
                <w:rFonts w:hint="eastAsia" w:ascii="宋体" w:hAnsi="宋体" w:eastAsia="宋体" w:cs="宋体"/>
                <w:color w:val="auto"/>
                <w:sz w:val="21"/>
                <w:szCs w:val="21"/>
              </w:rPr>
            </w:pPr>
          </w:p>
        </w:tc>
        <w:tc>
          <w:tcPr>
            <w:tcW w:w="2126" w:type="dxa"/>
            <w:vAlign w:val="center"/>
          </w:tcPr>
          <w:p w14:paraId="7B888E45">
            <w:pPr>
              <w:adjustRightInd w:val="0"/>
              <w:snapToGrid w:val="0"/>
              <w:jc w:val="center"/>
              <w:rPr>
                <w:rFonts w:hint="eastAsia" w:ascii="宋体" w:hAnsi="宋体" w:eastAsia="宋体" w:cs="宋体"/>
                <w:color w:val="auto"/>
                <w:sz w:val="21"/>
                <w:szCs w:val="21"/>
              </w:rPr>
            </w:pPr>
          </w:p>
        </w:tc>
        <w:tc>
          <w:tcPr>
            <w:tcW w:w="1875" w:type="dxa"/>
            <w:vAlign w:val="center"/>
          </w:tcPr>
          <w:p w14:paraId="78810476">
            <w:pPr>
              <w:adjustRightInd w:val="0"/>
              <w:snapToGrid w:val="0"/>
              <w:jc w:val="center"/>
              <w:rPr>
                <w:rFonts w:hint="eastAsia" w:ascii="宋体" w:hAnsi="宋体" w:eastAsia="宋体" w:cs="宋体"/>
                <w:color w:val="auto"/>
                <w:sz w:val="21"/>
                <w:szCs w:val="21"/>
              </w:rPr>
            </w:pPr>
          </w:p>
        </w:tc>
        <w:tc>
          <w:tcPr>
            <w:tcW w:w="1009" w:type="dxa"/>
            <w:vAlign w:val="center"/>
          </w:tcPr>
          <w:p w14:paraId="7BAA6F6F">
            <w:pPr>
              <w:adjustRightInd w:val="0"/>
              <w:snapToGrid w:val="0"/>
              <w:jc w:val="center"/>
              <w:rPr>
                <w:rFonts w:hint="eastAsia" w:ascii="宋体" w:hAnsi="宋体" w:eastAsia="宋体" w:cs="宋体"/>
                <w:color w:val="auto"/>
                <w:sz w:val="21"/>
                <w:szCs w:val="21"/>
              </w:rPr>
            </w:pPr>
          </w:p>
        </w:tc>
      </w:tr>
      <w:tr w14:paraId="05154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5" w:type="dxa"/>
            <w:vAlign w:val="center"/>
          </w:tcPr>
          <w:p w14:paraId="1E8725D3">
            <w:pPr>
              <w:adjustRightInd w:val="0"/>
              <w:snapToGrid w:val="0"/>
              <w:jc w:val="center"/>
              <w:rPr>
                <w:rFonts w:hint="eastAsia" w:ascii="宋体" w:hAnsi="宋体" w:eastAsia="宋体" w:cs="宋体"/>
                <w:color w:val="auto"/>
                <w:sz w:val="21"/>
                <w:szCs w:val="21"/>
              </w:rPr>
            </w:pPr>
          </w:p>
        </w:tc>
        <w:tc>
          <w:tcPr>
            <w:tcW w:w="1482" w:type="dxa"/>
            <w:vAlign w:val="center"/>
          </w:tcPr>
          <w:p w14:paraId="08E1794F">
            <w:pPr>
              <w:adjustRightInd w:val="0"/>
              <w:snapToGrid w:val="0"/>
              <w:jc w:val="center"/>
              <w:rPr>
                <w:rFonts w:hint="eastAsia" w:ascii="宋体" w:hAnsi="宋体" w:eastAsia="宋体" w:cs="宋体"/>
                <w:color w:val="auto"/>
                <w:sz w:val="21"/>
                <w:szCs w:val="21"/>
              </w:rPr>
            </w:pPr>
          </w:p>
        </w:tc>
        <w:tc>
          <w:tcPr>
            <w:tcW w:w="2384" w:type="dxa"/>
            <w:vAlign w:val="center"/>
          </w:tcPr>
          <w:p w14:paraId="4D4548A3">
            <w:pPr>
              <w:adjustRightInd w:val="0"/>
              <w:snapToGrid w:val="0"/>
              <w:jc w:val="center"/>
              <w:rPr>
                <w:rFonts w:hint="eastAsia" w:ascii="宋体" w:hAnsi="宋体" w:eastAsia="宋体" w:cs="宋体"/>
                <w:color w:val="auto"/>
                <w:sz w:val="21"/>
                <w:szCs w:val="21"/>
              </w:rPr>
            </w:pPr>
          </w:p>
        </w:tc>
        <w:tc>
          <w:tcPr>
            <w:tcW w:w="2126" w:type="dxa"/>
            <w:vAlign w:val="center"/>
          </w:tcPr>
          <w:p w14:paraId="24A42D66">
            <w:pPr>
              <w:adjustRightInd w:val="0"/>
              <w:snapToGrid w:val="0"/>
              <w:jc w:val="center"/>
              <w:rPr>
                <w:rFonts w:hint="eastAsia" w:ascii="宋体" w:hAnsi="宋体" w:eastAsia="宋体" w:cs="宋体"/>
                <w:color w:val="auto"/>
                <w:sz w:val="21"/>
                <w:szCs w:val="21"/>
              </w:rPr>
            </w:pPr>
          </w:p>
        </w:tc>
        <w:tc>
          <w:tcPr>
            <w:tcW w:w="1875" w:type="dxa"/>
            <w:vAlign w:val="center"/>
          </w:tcPr>
          <w:p w14:paraId="5DD2981E">
            <w:pPr>
              <w:adjustRightInd w:val="0"/>
              <w:snapToGrid w:val="0"/>
              <w:jc w:val="center"/>
              <w:rPr>
                <w:rFonts w:hint="eastAsia" w:ascii="宋体" w:hAnsi="宋体" w:eastAsia="宋体" w:cs="宋体"/>
                <w:color w:val="auto"/>
                <w:sz w:val="21"/>
                <w:szCs w:val="21"/>
              </w:rPr>
            </w:pPr>
          </w:p>
        </w:tc>
        <w:tc>
          <w:tcPr>
            <w:tcW w:w="1009" w:type="dxa"/>
            <w:vAlign w:val="center"/>
          </w:tcPr>
          <w:p w14:paraId="2AEF8F25">
            <w:pPr>
              <w:adjustRightInd w:val="0"/>
              <w:snapToGrid w:val="0"/>
              <w:jc w:val="center"/>
              <w:rPr>
                <w:rFonts w:hint="eastAsia" w:ascii="宋体" w:hAnsi="宋体" w:eastAsia="宋体" w:cs="宋体"/>
                <w:color w:val="auto"/>
                <w:sz w:val="21"/>
                <w:szCs w:val="21"/>
              </w:rPr>
            </w:pPr>
          </w:p>
        </w:tc>
      </w:tr>
      <w:tr w14:paraId="7C4AF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5" w:type="dxa"/>
            <w:vAlign w:val="center"/>
          </w:tcPr>
          <w:p w14:paraId="0B9EE78E">
            <w:pPr>
              <w:adjustRightInd w:val="0"/>
              <w:snapToGrid w:val="0"/>
              <w:jc w:val="center"/>
              <w:rPr>
                <w:rFonts w:hint="eastAsia" w:ascii="宋体" w:hAnsi="宋体" w:eastAsia="宋体" w:cs="宋体"/>
                <w:color w:val="auto"/>
                <w:sz w:val="21"/>
                <w:szCs w:val="21"/>
              </w:rPr>
            </w:pPr>
          </w:p>
        </w:tc>
        <w:tc>
          <w:tcPr>
            <w:tcW w:w="1482" w:type="dxa"/>
            <w:vAlign w:val="center"/>
          </w:tcPr>
          <w:p w14:paraId="39D72233">
            <w:pPr>
              <w:adjustRightInd w:val="0"/>
              <w:snapToGrid w:val="0"/>
              <w:jc w:val="center"/>
              <w:rPr>
                <w:rFonts w:hint="eastAsia" w:ascii="宋体" w:hAnsi="宋体" w:eastAsia="宋体" w:cs="宋体"/>
                <w:color w:val="auto"/>
                <w:sz w:val="21"/>
                <w:szCs w:val="21"/>
              </w:rPr>
            </w:pPr>
          </w:p>
        </w:tc>
        <w:tc>
          <w:tcPr>
            <w:tcW w:w="2384" w:type="dxa"/>
            <w:vAlign w:val="center"/>
          </w:tcPr>
          <w:p w14:paraId="2D6776AC">
            <w:pPr>
              <w:adjustRightInd w:val="0"/>
              <w:snapToGrid w:val="0"/>
              <w:jc w:val="center"/>
              <w:rPr>
                <w:rFonts w:hint="eastAsia" w:ascii="宋体" w:hAnsi="宋体" w:eastAsia="宋体" w:cs="宋体"/>
                <w:color w:val="auto"/>
                <w:sz w:val="21"/>
                <w:szCs w:val="21"/>
              </w:rPr>
            </w:pPr>
          </w:p>
        </w:tc>
        <w:tc>
          <w:tcPr>
            <w:tcW w:w="2126" w:type="dxa"/>
            <w:vAlign w:val="center"/>
          </w:tcPr>
          <w:p w14:paraId="2FA5FE87">
            <w:pPr>
              <w:adjustRightInd w:val="0"/>
              <w:snapToGrid w:val="0"/>
              <w:jc w:val="center"/>
              <w:rPr>
                <w:rFonts w:hint="eastAsia" w:ascii="宋体" w:hAnsi="宋体" w:eastAsia="宋体" w:cs="宋体"/>
                <w:color w:val="auto"/>
                <w:sz w:val="21"/>
                <w:szCs w:val="21"/>
              </w:rPr>
            </w:pPr>
          </w:p>
        </w:tc>
        <w:tc>
          <w:tcPr>
            <w:tcW w:w="1875" w:type="dxa"/>
            <w:vAlign w:val="center"/>
          </w:tcPr>
          <w:p w14:paraId="392C265F">
            <w:pPr>
              <w:adjustRightInd w:val="0"/>
              <w:snapToGrid w:val="0"/>
              <w:jc w:val="center"/>
              <w:rPr>
                <w:rFonts w:hint="eastAsia" w:ascii="宋体" w:hAnsi="宋体" w:eastAsia="宋体" w:cs="宋体"/>
                <w:color w:val="auto"/>
                <w:sz w:val="21"/>
                <w:szCs w:val="21"/>
              </w:rPr>
            </w:pPr>
          </w:p>
        </w:tc>
        <w:tc>
          <w:tcPr>
            <w:tcW w:w="1009" w:type="dxa"/>
            <w:vAlign w:val="center"/>
          </w:tcPr>
          <w:p w14:paraId="312831F1">
            <w:pPr>
              <w:adjustRightInd w:val="0"/>
              <w:snapToGrid w:val="0"/>
              <w:jc w:val="center"/>
              <w:rPr>
                <w:rFonts w:hint="eastAsia" w:ascii="宋体" w:hAnsi="宋体" w:eastAsia="宋体" w:cs="宋体"/>
                <w:color w:val="auto"/>
                <w:sz w:val="21"/>
                <w:szCs w:val="21"/>
              </w:rPr>
            </w:pPr>
          </w:p>
        </w:tc>
      </w:tr>
    </w:tbl>
    <w:p w14:paraId="67120572">
      <w:pPr>
        <w:tabs>
          <w:tab w:val="left" w:pos="1800"/>
          <w:tab w:val="left" w:pos="5580"/>
        </w:tabs>
        <w:spacing w:line="360" w:lineRule="auto"/>
        <w:ind w:firstLine="315" w:firstLineChars="150"/>
        <w:jc w:val="left"/>
        <w:rPr>
          <w:rFonts w:hint="eastAsia" w:ascii="宋体" w:hAnsi="宋体" w:eastAsia="宋体" w:cs="宋体"/>
          <w:color w:val="auto"/>
          <w:sz w:val="21"/>
          <w:szCs w:val="21"/>
          <w:u w:val="single"/>
        </w:rPr>
      </w:pPr>
    </w:p>
    <w:p w14:paraId="33109F56">
      <w:pPr>
        <w:tabs>
          <w:tab w:val="left" w:pos="1800"/>
          <w:tab w:val="left" w:pos="5580"/>
        </w:tabs>
        <w:spacing w:line="360" w:lineRule="auto"/>
        <w:ind w:firstLine="315" w:firstLineChars="150"/>
        <w:jc w:val="left"/>
        <w:rPr>
          <w:rFonts w:hint="eastAsia" w:ascii="宋体" w:hAnsi="宋体" w:eastAsia="宋体" w:cs="宋体"/>
          <w:color w:val="auto"/>
          <w:sz w:val="21"/>
          <w:szCs w:val="21"/>
          <w:u w:val="single"/>
        </w:rPr>
      </w:pPr>
    </w:p>
    <w:p w14:paraId="3C770F2F">
      <w:pPr>
        <w:tabs>
          <w:tab w:val="left" w:pos="1800"/>
          <w:tab w:val="left" w:pos="5580"/>
        </w:tabs>
        <w:jc w:val="left"/>
        <w:rPr>
          <w:rFonts w:hint="eastAsia" w:ascii="宋体" w:hAnsi="宋体" w:eastAsia="宋体" w:cs="宋体"/>
          <w:color w:val="auto"/>
          <w:sz w:val="21"/>
          <w:szCs w:val="21"/>
        </w:rPr>
      </w:pPr>
      <w:r>
        <w:rPr>
          <w:rFonts w:hint="eastAsia" w:ascii="宋体" w:hAnsi="宋体" w:eastAsia="宋体" w:cs="宋体"/>
          <w:color w:val="auto"/>
          <w:sz w:val="21"/>
          <w:szCs w:val="21"/>
        </w:rPr>
        <w:t>注：</w:t>
      </w:r>
    </w:p>
    <w:p w14:paraId="2B76E57E">
      <w:pPr>
        <w:tabs>
          <w:tab w:val="left" w:pos="1800"/>
          <w:tab w:val="left" w:pos="5580"/>
        </w:tabs>
        <w:jc w:val="left"/>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ascii="宋体" w:hAnsi="宋体" w:eastAsia="宋体" w:cs="宋体"/>
          <w:color w:val="auto"/>
          <w:sz w:val="21"/>
          <w:szCs w:val="21"/>
        </w:rPr>
        <w:t>对招标文件中的所有商务、技术要求，除本表所列明的所有偏离外，均视作供应商已对之理解和响应。此表中若无任何文字说明，内容为空白，则</w:t>
      </w:r>
      <w:r>
        <w:rPr>
          <w:rFonts w:hint="eastAsia" w:ascii="宋体" w:hAnsi="宋体" w:eastAsia="宋体" w:cs="宋体"/>
          <w:b/>
          <w:color w:val="auto"/>
          <w:sz w:val="21"/>
          <w:szCs w:val="21"/>
        </w:rPr>
        <w:t>响应无效</w:t>
      </w:r>
      <w:r>
        <w:rPr>
          <w:rFonts w:hint="eastAsia" w:ascii="宋体" w:hAnsi="宋体" w:eastAsia="宋体" w:cs="宋体"/>
          <w:color w:val="auto"/>
          <w:sz w:val="21"/>
          <w:szCs w:val="21"/>
        </w:rPr>
        <w:t>。</w:t>
      </w:r>
    </w:p>
    <w:p w14:paraId="527606CB">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2.“偏离情况”列应</w:t>
      </w:r>
      <w:r>
        <w:rPr>
          <w:rFonts w:hint="eastAsia" w:ascii="宋体" w:hAnsi="宋体" w:eastAsia="宋体" w:cs="宋体"/>
          <w:color w:val="auto"/>
          <w:sz w:val="21"/>
          <w:szCs w:val="21"/>
        </w:rPr>
        <w:t>据实</w:t>
      </w:r>
      <w:r>
        <w:rPr>
          <w:rFonts w:hint="eastAsia" w:ascii="宋体" w:hAnsi="宋体" w:eastAsia="宋体" w:cs="宋体"/>
          <w:color w:val="auto"/>
          <w:sz w:val="21"/>
          <w:szCs w:val="21"/>
        </w:rPr>
        <w:t>填写“正偏离”或“负偏离”或“无偏离”。</w:t>
      </w:r>
    </w:p>
    <w:p w14:paraId="6F7253DD">
      <w:pPr>
        <w:snapToGrid w:val="0"/>
        <w:spacing w:line="360" w:lineRule="auto"/>
        <w:rPr>
          <w:rFonts w:hint="eastAsia" w:ascii="宋体" w:hAnsi="宋体" w:eastAsia="宋体" w:cs="宋体"/>
          <w:color w:val="auto"/>
          <w:sz w:val="21"/>
          <w:szCs w:val="21"/>
        </w:rPr>
      </w:pPr>
    </w:p>
    <w:p w14:paraId="264DB9EF">
      <w:pPr>
        <w:spacing w:line="44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 xml:space="preserve">响应人（盖章）：                 </w:t>
      </w:r>
    </w:p>
    <w:p w14:paraId="47C13572">
      <w:pPr>
        <w:spacing w:line="44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法定代表人或委托代理人（签字或盖章）：</w:t>
      </w:r>
    </w:p>
    <w:p w14:paraId="593F5F7B">
      <w:pPr>
        <w:spacing w:line="44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 xml:space="preserve">日期：______年月 </w:t>
      </w:r>
      <w:r>
        <w:rPr>
          <w:rFonts w:hint="eastAsia" w:ascii="宋体" w:hAnsi="宋体" w:cs="宋体"/>
          <w:color w:val="auto"/>
          <w:sz w:val="21"/>
          <w:szCs w:val="21"/>
          <w:highlight w:val="none"/>
          <w:lang w:val="en-US" w:eastAsia="zh-CN"/>
        </w:rPr>
        <w:t>日</w:t>
      </w:r>
      <w:r>
        <w:rPr>
          <w:rFonts w:hint="eastAsia" w:ascii="宋体" w:hAnsi="宋体" w:cs="宋体"/>
          <w:color w:val="auto"/>
          <w:sz w:val="21"/>
          <w:szCs w:val="21"/>
          <w:highlight w:val="none"/>
        </w:rPr>
        <w:t xml:space="preserve"> </w:t>
      </w:r>
    </w:p>
    <w:p w14:paraId="1A256365">
      <w:pPr>
        <w:rPr>
          <w:rFonts w:cs="宋体"/>
          <w:color w:val="auto"/>
          <w:sz w:val="21"/>
          <w:szCs w:val="21"/>
          <w:highlight w:val="none"/>
          <w:lang w:bidi="ar"/>
        </w:rPr>
      </w:pPr>
    </w:p>
    <w:p w14:paraId="38BCA580">
      <w:pPr>
        <w:pStyle w:val="3"/>
        <w:jc w:val="left"/>
        <w:rPr>
          <w:rFonts w:cs="宋体"/>
          <w:color w:val="auto"/>
          <w:sz w:val="21"/>
          <w:szCs w:val="21"/>
          <w:highlight w:val="none"/>
          <w:lang w:bidi="ar"/>
        </w:rPr>
      </w:pPr>
    </w:p>
    <w:p w14:paraId="2A4510D4">
      <w:pPr>
        <w:pStyle w:val="3"/>
        <w:jc w:val="left"/>
        <w:rPr>
          <w:rFonts w:cs="宋体"/>
          <w:color w:val="auto"/>
          <w:sz w:val="21"/>
          <w:szCs w:val="21"/>
          <w:highlight w:val="none"/>
          <w:lang w:bidi="ar"/>
        </w:rPr>
      </w:pPr>
    </w:p>
    <w:p w14:paraId="5270DE42">
      <w:pPr>
        <w:pStyle w:val="3"/>
        <w:jc w:val="left"/>
        <w:rPr>
          <w:rFonts w:cs="宋体"/>
          <w:color w:val="auto"/>
          <w:sz w:val="21"/>
          <w:szCs w:val="21"/>
          <w:highlight w:val="none"/>
          <w:lang w:bidi="ar"/>
        </w:rPr>
      </w:pPr>
    </w:p>
    <w:p w14:paraId="532BD282">
      <w:pPr>
        <w:pStyle w:val="3"/>
        <w:jc w:val="left"/>
        <w:rPr>
          <w:rFonts w:hint="default" w:cs="宋体"/>
          <w:color w:val="auto"/>
          <w:sz w:val="21"/>
          <w:szCs w:val="21"/>
          <w:highlight w:val="none"/>
          <w:lang w:bidi="ar"/>
        </w:rPr>
      </w:pPr>
      <w:r>
        <w:rPr>
          <w:rFonts w:cs="宋体"/>
          <w:color w:val="auto"/>
          <w:sz w:val="21"/>
          <w:szCs w:val="21"/>
          <w:highlight w:val="none"/>
          <w:lang w:bidi="ar"/>
        </w:rPr>
        <w:t>附件</w:t>
      </w:r>
      <w:r>
        <w:rPr>
          <w:rFonts w:hint="eastAsia" w:cs="宋体"/>
          <w:color w:val="auto"/>
          <w:sz w:val="21"/>
          <w:szCs w:val="21"/>
          <w:highlight w:val="none"/>
          <w:lang w:val="en-US" w:eastAsia="zh-CN" w:bidi="ar"/>
        </w:rPr>
        <w:t>八</w:t>
      </w:r>
      <w:r>
        <w:rPr>
          <w:rFonts w:cs="宋体"/>
          <w:color w:val="auto"/>
          <w:sz w:val="21"/>
          <w:szCs w:val="21"/>
          <w:highlight w:val="none"/>
          <w:lang w:bidi="ar"/>
        </w:rPr>
        <w:t>：响应人认为需要提供的其它说明和资料</w:t>
      </w:r>
    </w:p>
    <w:p w14:paraId="06BC17AF">
      <w:pPr>
        <w:rPr>
          <w:color w:val="auto"/>
          <w:highlight w:val="none"/>
        </w:rPr>
      </w:pPr>
    </w:p>
    <w:sectPr>
      <w:footerReference r:id="rId4" w:type="default"/>
      <w:pgSz w:w="11906" w:h="16838"/>
      <w:pgMar w:top="1134" w:right="1134" w:bottom="1134" w:left="1134" w:header="851" w:footer="992" w:gutter="0"/>
      <w:cols w:space="0" w:num="1"/>
      <w:docGrid w:type="lines" w:linePitch="39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Arial Unicode MS">
    <w:panose1 w:val="020B0604020202020204"/>
    <w:charset w:val="86"/>
    <w:family w:val="swiss"/>
    <w:pitch w:val="default"/>
    <w:sig w:usb0="FFFFFFFF" w:usb1="E9FFFFFF" w:usb2="0000003F" w:usb3="00000000" w:csb0="603F01FF" w:csb1="FFFF0000"/>
  </w:font>
  <w:font w:name="monospace">
    <w:altName w:val="微软雅黑"/>
    <w:panose1 w:val="00000000000000000000"/>
    <w:charset w:val="00"/>
    <w:family w:val="auto"/>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auto"/>
    <w:pitch w:val="default"/>
    <w:sig w:usb0="00000000" w:usb1="00000000" w:usb2="00000016" w:usb3="00000000" w:csb0="00100001" w:csb1="00000000"/>
  </w:font>
  <w:font w:name="MingLiU">
    <w:altName w:val="PMingLiU-ExtB"/>
    <w:panose1 w:val="02010609000101010101"/>
    <w:charset w:val="88"/>
    <w:family w:val="modern"/>
    <w:pitch w:val="default"/>
    <w:sig w:usb0="00000000" w:usb1="00000000" w:usb2="00000016" w:usb3="00000000" w:csb0="0010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icrosoft JhengHei UI">
    <w:panose1 w:val="020B0604030504040204"/>
    <w:charset w:val="88"/>
    <w:family w:val="auto"/>
    <w:pitch w:val="default"/>
    <w:sig w:usb0="000002A7" w:usb1="28CF4400" w:usb2="00000016" w:usb3="00000000" w:csb0="00100009"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83319720"/>
    </w:sdtPr>
    <w:sdtContent>
      <w:p w14:paraId="43C5E2B4">
        <w:pPr>
          <w:pStyle w:val="20"/>
          <w:jc w:val="center"/>
        </w:pPr>
        <w:r>
          <w:fldChar w:fldCharType="begin"/>
        </w:r>
        <w:r>
          <w:instrText xml:space="preserve">PAGE   \* MERGEFORMAT</w:instrText>
        </w:r>
        <w:r>
          <w:fldChar w:fldCharType="separate"/>
        </w:r>
        <w:r>
          <w:rPr>
            <w:lang w:val="zh-CN"/>
          </w:rPr>
          <w:t>20</w:t>
        </w:r>
        <w:r>
          <w:rPr>
            <w:lang w:val="zh-CN"/>
          </w:rPr>
          <w:fldChar w:fldCharType="end"/>
        </w:r>
      </w:p>
    </w:sdtContent>
  </w:sdt>
  <w:p w14:paraId="10A28DD2">
    <w:pPr>
      <w:pStyle w:val="2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D23E3">
    <w:pPr>
      <w:pStyle w:val="12"/>
      <w:spacing w:line="14" w:lineRule="auto"/>
      <w:rPr>
        <w:rFonts w:hint="default"/>
        <w:sz w:val="20"/>
      </w:rPr>
    </w:pPr>
    <w:r>
      <w:rPr>
        <w:rFonts w:hint="default"/>
        <w:sz w:val="20"/>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1524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14935" cy="152400"/>
                      </a:xfrm>
                      <a:prstGeom prst="rect">
                        <a:avLst/>
                      </a:prstGeom>
                      <a:noFill/>
                      <a:ln w="6350">
                        <a:noFill/>
                      </a:ln>
                    </wps:spPr>
                    <wps:txbx>
                      <w:txbxContent>
                        <w:p w14:paraId="746236DC">
                          <w:pPr>
                            <w:pStyle w:val="20"/>
                          </w:pPr>
                          <w:r>
                            <w:fldChar w:fldCharType="begin"/>
                          </w:r>
                          <w:r>
                            <w:instrText xml:space="preserve"> PAGE  \* MERGEFORMAT </w:instrText>
                          </w:r>
                          <w:r>
                            <w:fldChar w:fldCharType="separate"/>
                          </w:r>
                          <w:r>
                            <w:t>27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pt;width:9.05pt;mso-position-horizontal:center;mso-position-horizontal-relative:margin;mso-wrap-style:none;z-index:251660288;mso-width-relative:page;mso-height-relative:page;" filled="f" stroked="f" coordsize="21600,21600" o:gfxdata="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e8snHSAAAAAwEAAA8AAAAAAAAAAQAgAAAAIgAAAGRycy9kb3ducmV2LnhtbFBLAQIUABQA&#10;AAAIAIdO4kAE7e0ZLwIAAFMEAAAOAAAAAAAAAAEAIAAAACEBAABkcnMvZTJvRG9jLnhtbFBLBQYA&#10;AAAABgAGAFkBAADCBQAAAAA=&#10;">
              <v:fill on="f" focussize="0,0"/>
              <v:stroke on="f" weight="0.5pt"/>
              <v:imagedata o:title=""/>
              <o:lock v:ext="edit" aspectratio="f"/>
              <v:textbox inset="0mm,0mm,0mm,0mm" style="mso-fit-shape-to-text:t;">
                <w:txbxContent>
                  <w:p w14:paraId="746236DC">
                    <w:pPr>
                      <w:pStyle w:val="20"/>
                    </w:pPr>
                    <w:r>
                      <w:fldChar w:fldCharType="begin"/>
                    </w:r>
                    <w:r>
                      <w:instrText xml:space="preserve"> PAGE  \* MERGEFORMAT </w:instrText>
                    </w:r>
                    <w:r>
                      <w:fldChar w:fldCharType="separate"/>
                    </w:r>
                    <w:r>
                      <w:t>27</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8188D1"/>
    <w:multiLevelType w:val="singleLevel"/>
    <w:tmpl w:val="E28188D1"/>
    <w:lvl w:ilvl="0" w:tentative="0">
      <w:start w:val="1"/>
      <w:numFmt w:val="decimal"/>
      <w:lvlText w:val="%1."/>
      <w:lvlJc w:val="left"/>
      <w:pPr>
        <w:ind w:left="425" w:hanging="425"/>
      </w:pPr>
      <w:rPr>
        <w:rFonts w:hint="default"/>
      </w:rPr>
    </w:lvl>
  </w:abstractNum>
  <w:abstractNum w:abstractNumId="1">
    <w:nsid w:val="FBACA333"/>
    <w:multiLevelType w:val="singleLevel"/>
    <w:tmpl w:val="FBACA333"/>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98"/>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lhMjhiYWZjZmVlYzZlYTRjNjVmZjAyNGVmZDFjMzYifQ=="/>
  </w:docVars>
  <w:rsids>
    <w:rsidRoot w:val="0021074D"/>
    <w:rsid w:val="00002BA4"/>
    <w:rsid w:val="00003736"/>
    <w:rsid w:val="000106B0"/>
    <w:rsid w:val="00021A8D"/>
    <w:rsid w:val="00022925"/>
    <w:rsid w:val="00032DC5"/>
    <w:rsid w:val="000373D7"/>
    <w:rsid w:val="000405FD"/>
    <w:rsid w:val="000951B3"/>
    <w:rsid w:val="000A6BEC"/>
    <w:rsid w:val="001260D7"/>
    <w:rsid w:val="00140907"/>
    <w:rsid w:val="00147399"/>
    <w:rsid w:val="0014787E"/>
    <w:rsid w:val="001718B3"/>
    <w:rsid w:val="001F3AF1"/>
    <w:rsid w:val="0021074D"/>
    <w:rsid w:val="00221704"/>
    <w:rsid w:val="00227390"/>
    <w:rsid w:val="00250EC4"/>
    <w:rsid w:val="00255E1B"/>
    <w:rsid w:val="00271382"/>
    <w:rsid w:val="002929B1"/>
    <w:rsid w:val="00293685"/>
    <w:rsid w:val="002C0020"/>
    <w:rsid w:val="002C044B"/>
    <w:rsid w:val="002C61F7"/>
    <w:rsid w:val="002F31C2"/>
    <w:rsid w:val="002F771E"/>
    <w:rsid w:val="00307847"/>
    <w:rsid w:val="00332C73"/>
    <w:rsid w:val="0033500C"/>
    <w:rsid w:val="00350671"/>
    <w:rsid w:val="00377041"/>
    <w:rsid w:val="00383CE9"/>
    <w:rsid w:val="003876B5"/>
    <w:rsid w:val="0039591A"/>
    <w:rsid w:val="003B5649"/>
    <w:rsid w:val="003B5B59"/>
    <w:rsid w:val="003D14AF"/>
    <w:rsid w:val="00476A63"/>
    <w:rsid w:val="0048381F"/>
    <w:rsid w:val="004939DE"/>
    <w:rsid w:val="004951A7"/>
    <w:rsid w:val="004B2469"/>
    <w:rsid w:val="004B57DE"/>
    <w:rsid w:val="004F1E95"/>
    <w:rsid w:val="004F3F31"/>
    <w:rsid w:val="00507291"/>
    <w:rsid w:val="005366C5"/>
    <w:rsid w:val="005863D6"/>
    <w:rsid w:val="00594682"/>
    <w:rsid w:val="005964D0"/>
    <w:rsid w:val="005A038E"/>
    <w:rsid w:val="005B3C68"/>
    <w:rsid w:val="005C48B2"/>
    <w:rsid w:val="005E40A2"/>
    <w:rsid w:val="005E44A1"/>
    <w:rsid w:val="00604184"/>
    <w:rsid w:val="006410C6"/>
    <w:rsid w:val="006438CA"/>
    <w:rsid w:val="006646DA"/>
    <w:rsid w:val="00665BAD"/>
    <w:rsid w:val="00676F9F"/>
    <w:rsid w:val="006E47C5"/>
    <w:rsid w:val="00716EDF"/>
    <w:rsid w:val="0072019D"/>
    <w:rsid w:val="00723EB2"/>
    <w:rsid w:val="00756D13"/>
    <w:rsid w:val="007B2362"/>
    <w:rsid w:val="007B672F"/>
    <w:rsid w:val="007F3ADE"/>
    <w:rsid w:val="0081635E"/>
    <w:rsid w:val="00832009"/>
    <w:rsid w:val="00862735"/>
    <w:rsid w:val="008906CE"/>
    <w:rsid w:val="008A77B9"/>
    <w:rsid w:val="008F1361"/>
    <w:rsid w:val="008F2F4A"/>
    <w:rsid w:val="009149BB"/>
    <w:rsid w:val="00916AE6"/>
    <w:rsid w:val="009229FD"/>
    <w:rsid w:val="009245D5"/>
    <w:rsid w:val="0094596B"/>
    <w:rsid w:val="00994B0C"/>
    <w:rsid w:val="00997D30"/>
    <w:rsid w:val="00997DCF"/>
    <w:rsid w:val="009E682F"/>
    <w:rsid w:val="00A00F09"/>
    <w:rsid w:val="00A37326"/>
    <w:rsid w:val="00A65342"/>
    <w:rsid w:val="00A74CF5"/>
    <w:rsid w:val="00A82EF8"/>
    <w:rsid w:val="00A838E9"/>
    <w:rsid w:val="00AA0DB6"/>
    <w:rsid w:val="00AA5405"/>
    <w:rsid w:val="00AF37DC"/>
    <w:rsid w:val="00AF7C62"/>
    <w:rsid w:val="00B10FAC"/>
    <w:rsid w:val="00B5300C"/>
    <w:rsid w:val="00B90EA2"/>
    <w:rsid w:val="00BB6AC5"/>
    <w:rsid w:val="00BC10E2"/>
    <w:rsid w:val="00BC1660"/>
    <w:rsid w:val="00BC3EF1"/>
    <w:rsid w:val="00BF2FE2"/>
    <w:rsid w:val="00C01830"/>
    <w:rsid w:val="00C254DC"/>
    <w:rsid w:val="00C36637"/>
    <w:rsid w:val="00C6663C"/>
    <w:rsid w:val="00C66CAB"/>
    <w:rsid w:val="00C70BA0"/>
    <w:rsid w:val="00CD5B54"/>
    <w:rsid w:val="00D03026"/>
    <w:rsid w:val="00D20E4C"/>
    <w:rsid w:val="00D40FDD"/>
    <w:rsid w:val="00D7112A"/>
    <w:rsid w:val="00DC3B6A"/>
    <w:rsid w:val="00DF1AA5"/>
    <w:rsid w:val="00DF22AB"/>
    <w:rsid w:val="00E04B33"/>
    <w:rsid w:val="00E81BDE"/>
    <w:rsid w:val="00EA71A9"/>
    <w:rsid w:val="00EB71DE"/>
    <w:rsid w:val="00EF5E5A"/>
    <w:rsid w:val="00EF64A0"/>
    <w:rsid w:val="00F40F02"/>
    <w:rsid w:val="00F45AC4"/>
    <w:rsid w:val="00F91A23"/>
    <w:rsid w:val="00FA7D5A"/>
    <w:rsid w:val="00FB48EE"/>
    <w:rsid w:val="00FC0CF1"/>
    <w:rsid w:val="00FC11AC"/>
    <w:rsid w:val="01031F52"/>
    <w:rsid w:val="01044E63"/>
    <w:rsid w:val="013D20EF"/>
    <w:rsid w:val="013D4B60"/>
    <w:rsid w:val="01615D42"/>
    <w:rsid w:val="018062D9"/>
    <w:rsid w:val="0187402D"/>
    <w:rsid w:val="01910DE7"/>
    <w:rsid w:val="01B34E22"/>
    <w:rsid w:val="01B37292"/>
    <w:rsid w:val="01C56A7B"/>
    <w:rsid w:val="01F23CD2"/>
    <w:rsid w:val="02223D56"/>
    <w:rsid w:val="023F2D81"/>
    <w:rsid w:val="025E37B8"/>
    <w:rsid w:val="029C3542"/>
    <w:rsid w:val="02B40E52"/>
    <w:rsid w:val="02B67B5D"/>
    <w:rsid w:val="02BF23FC"/>
    <w:rsid w:val="02DD1D38"/>
    <w:rsid w:val="02F76F90"/>
    <w:rsid w:val="031A4A2D"/>
    <w:rsid w:val="03253AFD"/>
    <w:rsid w:val="032A4C70"/>
    <w:rsid w:val="032C4136"/>
    <w:rsid w:val="03383B60"/>
    <w:rsid w:val="033B7245"/>
    <w:rsid w:val="035829D1"/>
    <w:rsid w:val="03607C25"/>
    <w:rsid w:val="03681B56"/>
    <w:rsid w:val="039F417D"/>
    <w:rsid w:val="03CD45EE"/>
    <w:rsid w:val="03DF1EFE"/>
    <w:rsid w:val="03E27618"/>
    <w:rsid w:val="03F24E78"/>
    <w:rsid w:val="04237B2C"/>
    <w:rsid w:val="04251DE7"/>
    <w:rsid w:val="0430275A"/>
    <w:rsid w:val="043A16C4"/>
    <w:rsid w:val="04447FB3"/>
    <w:rsid w:val="045D1075"/>
    <w:rsid w:val="0473723F"/>
    <w:rsid w:val="04857411"/>
    <w:rsid w:val="04B309CB"/>
    <w:rsid w:val="04BD63C8"/>
    <w:rsid w:val="04BF340F"/>
    <w:rsid w:val="04C50C9E"/>
    <w:rsid w:val="04C517EC"/>
    <w:rsid w:val="04C63BEF"/>
    <w:rsid w:val="04CB7F16"/>
    <w:rsid w:val="04D93E6C"/>
    <w:rsid w:val="04E7434C"/>
    <w:rsid w:val="04F727F4"/>
    <w:rsid w:val="051F35C9"/>
    <w:rsid w:val="051F3FA0"/>
    <w:rsid w:val="05232E77"/>
    <w:rsid w:val="052754BA"/>
    <w:rsid w:val="053B7182"/>
    <w:rsid w:val="05644C43"/>
    <w:rsid w:val="05685DCD"/>
    <w:rsid w:val="05835AFE"/>
    <w:rsid w:val="05AA2098"/>
    <w:rsid w:val="05EA6938"/>
    <w:rsid w:val="06073258"/>
    <w:rsid w:val="060A1AF1"/>
    <w:rsid w:val="061821C8"/>
    <w:rsid w:val="062D1F31"/>
    <w:rsid w:val="06435D57"/>
    <w:rsid w:val="065A4B66"/>
    <w:rsid w:val="066270CD"/>
    <w:rsid w:val="06652463"/>
    <w:rsid w:val="06734B80"/>
    <w:rsid w:val="0684708A"/>
    <w:rsid w:val="06851866"/>
    <w:rsid w:val="0692607A"/>
    <w:rsid w:val="069468A4"/>
    <w:rsid w:val="0696086E"/>
    <w:rsid w:val="069B1F8D"/>
    <w:rsid w:val="06B06C69"/>
    <w:rsid w:val="06B157B4"/>
    <w:rsid w:val="06BF2030"/>
    <w:rsid w:val="06C410D9"/>
    <w:rsid w:val="06E067A2"/>
    <w:rsid w:val="06E269F9"/>
    <w:rsid w:val="06F35FE2"/>
    <w:rsid w:val="0700276E"/>
    <w:rsid w:val="070E2AFA"/>
    <w:rsid w:val="071F7265"/>
    <w:rsid w:val="07760675"/>
    <w:rsid w:val="07A73A34"/>
    <w:rsid w:val="07B216D8"/>
    <w:rsid w:val="07C03DF5"/>
    <w:rsid w:val="07C56484"/>
    <w:rsid w:val="07D22FE3"/>
    <w:rsid w:val="07F41CF0"/>
    <w:rsid w:val="080D1184"/>
    <w:rsid w:val="0835382C"/>
    <w:rsid w:val="0836769A"/>
    <w:rsid w:val="083B3FA2"/>
    <w:rsid w:val="084828A3"/>
    <w:rsid w:val="085F44B5"/>
    <w:rsid w:val="087F3918"/>
    <w:rsid w:val="08801BCF"/>
    <w:rsid w:val="0895702F"/>
    <w:rsid w:val="08EF112B"/>
    <w:rsid w:val="08EF627C"/>
    <w:rsid w:val="08F37783"/>
    <w:rsid w:val="08FB24E9"/>
    <w:rsid w:val="08FE3527"/>
    <w:rsid w:val="091931C9"/>
    <w:rsid w:val="093736D9"/>
    <w:rsid w:val="097167D3"/>
    <w:rsid w:val="098175B4"/>
    <w:rsid w:val="09922C06"/>
    <w:rsid w:val="0993096F"/>
    <w:rsid w:val="09A6778C"/>
    <w:rsid w:val="09CA5C39"/>
    <w:rsid w:val="09F052AF"/>
    <w:rsid w:val="09F26730"/>
    <w:rsid w:val="09F42153"/>
    <w:rsid w:val="09F6023D"/>
    <w:rsid w:val="0A0501E5"/>
    <w:rsid w:val="0A395029"/>
    <w:rsid w:val="0A4070EB"/>
    <w:rsid w:val="0A6C0264"/>
    <w:rsid w:val="0A6D7B38"/>
    <w:rsid w:val="0A701CAE"/>
    <w:rsid w:val="0A717BC9"/>
    <w:rsid w:val="0A877A05"/>
    <w:rsid w:val="0AA23C86"/>
    <w:rsid w:val="0ABB4D47"/>
    <w:rsid w:val="0ACB117B"/>
    <w:rsid w:val="0AD40E37"/>
    <w:rsid w:val="0B1E2B17"/>
    <w:rsid w:val="0B570080"/>
    <w:rsid w:val="0BB27EF8"/>
    <w:rsid w:val="0BB7186B"/>
    <w:rsid w:val="0BB936F3"/>
    <w:rsid w:val="0BC767A6"/>
    <w:rsid w:val="0BD70DFE"/>
    <w:rsid w:val="0BE12AC7"/>
    <w:rsid w:val="0BE24933"/>
    <w:rsid w:val="0BE80BE6"/>
    <w:rsid w:val="0BED105A"/>
    <w:rsid w:val="0C0A4DBA"/>
    <w:rsid w:val="0C150BBD"/>
    <w:rsid w:val="0C150F1C"/>
    <w:rsid w:val="0C360884"/>
    <w:rsid w:val="0C430457"/>
    <w:rsid w:val="0C4804B4"/>
    <w:rsid w:val="0C4C20FB"/>
    <w:rsid w:val="0C747355"/>
    <w:rsid w:val="0C8B382F"/>
    <w:rsid w:val="0CCE66E5"/>
    <w:rsid w:val="0CD468EF"/>
    <w:rsid w:val="0CE24F43"/>
    <w:rsid w:val="0CE91987"/>
    <w:rsid w:val="0D002AB1"/>
    <w:rsid w:val="0D026C5D"/>
    <w:rsid w:val="0D1D3A97"/>
    <w:rsid w:val="0D2F537E"/>
    <w:rsid w:val="0D471191"/>
    <w:rsid w:val="0D4A66FC"/>
    <w:rsid w:val="0D6F7730"/>
    <w:rsid w:val="0D9020B8"/>
    <w:rsid w:val="0DAF6ED4"/>
    <w:rsid w:val="0DB5782C"/>
    <w:rsid w:val="0DBF4B4E"/>
    <w:rsid w:val="0DEA2BEF"/>
    <w:rsid w:val="0DF20370"/>
    <w:rsid w:val="0DF30354"/>
    <w:rsid w:val="0E0F03BC"/>
    <w:rsid w:val="0E71263D"/>
    <w:rsid w:val="0E924188"/>
    <w:rsid w:val="0EA63619"/>
    <w:rsid w:val="0EA73ECA"/>
    <w:rsid w:val="0EAA61EA"/>
    <w:rsid w:val="0EC248F6"/>
    <w:rsid w:val="0EFC7E02"/>
    <w:rsid w:val="0EFF16A6"/>
    <w:rsid w:val="0F017246"/>
    <w:rsid w:val="0F374FA5"/>
    <w:rsid w:val="0F44273B"/>
    <w:rsid w:val="0F4B5F43"/>
    <w:rsid w:val="0F593A7B"/>
    <w:rsid w:val="0F865924"/>
    <w:rsid w:val="0F8A11E8"/>
    <w:rsid w:val="0FB13746"/>
    <w:rsid w:val="0FB17590"/>
    <w:rsid w:val="0FC240A4"/>
    <w:rsid w:val="0FF31C6A"/>
    <w:rsid w:val="0FF667D4"/>
    <w:rsid w:val="0FFB6814"/>
    <w:rsid w:val="102E5ACA"/>
    <w:rsid w:val="10431188"/>
    <w:rsid w:val="105A634B"/>
    <w:rsid w:val="106919B3"/>
    <w:rsid w:val="106E5E2B"/>
    <w:rsid w:val="108E7114"/>
    <w:rsid w:val="10C262FB"/>
    <w:rsid w:val="10EF574B"/>
    <w:rsid w:val="10F36FE9"/>
    <w:rsid w:val="110417D1"/>
    <w:rsid w:val="110D3A2D"/>
    <w:rsid w:val="112F6741"/>
    <w:rsid w:val="11423ACC"/>
    <w:rsid w:val="115F6E97"/>
    <w:rsid w:val="117622DC"/>
    <w:rsid w:val="11872970"/>
    <w:rsid w:val="11B86D82"/>
    <w:rsid w:val="11CF4578"/>
    <w:rsid w:val="11DF7EC4"/>
    <w:rsid w:val="11E728AF"/>
    <w:rsid w:val="11EB5F12"/>
    <w:rsid w:val="11F32BC3"/>
    <w:rsid w:val="11FA4B01"/>
    <w:rsid w:val="120E2D56"/>
    <w:rsid w:val="122A0524"/>
    <w:rsid w:val="123A47A4"/>
    <w:rsid w:val="12582C57"/>
    <w:rsid w:val="12EF26FE"/>
    <w:rsid w:val="13035EA6"/>
    <w:rsid w:val="13070B2A"/>
    <w:rsid w:val="13223BB5"/>
    <w:rsid w:val="13337B71"/>
    <w:rsid w:val="133D09EF"/>
    <w:rsid w:val="133D279D"/>
    <w:rsid w:val="134B7403"/>
    <w:rsid w:val="136026C2"/>
    <w:rsid w:val="138C102F"/>
    <w:rsid w:val="13931091"/>
    <w:rsid w:val="13AB1B19"/>
    <w:rsid w:val="13AC7923"/>
    <w:rsid w:val="13AE5314"/>
    <w:rsid w:val="13B21FFB"/>
    <w:rsid w:val="13B24AB4"/>
    <w:rsid w:val="13B42418"/>
    <w:rsid w:val="13DE568F"/>
    <w:rsid w:val="13E44B45"/>
    <w:rsid w:val="13E55317"/>
    <w:rsid w:val="13E56991"/>
    <w:rsid w:val="14091461"/>
    <w:rsid w:val="140F5D81"/>
    <w:rsid w:val="14294AD0"/>
    <w:rsid w:val="14674FBB"/>
    <w:rsid w:val="147C10A3"/>
    <w:rsid w:val="14970773"/>
    <w:rsid w:val="14AF152A"/>
    <w:rsid w:val="14B40ECF"/>
    <w:rsid w:val="14B44406"/>
    <w:rsid w:val="14D233B9"/>
    <w:rsid w:val="14D42C8D"/>
    <w:rsid w:val="14E639DF"/>
    <w:rsid w:val="14EC7351"/>
    <w:rsid w:val="14EE5CB3"/>
    <w:rsid w:val="150B58A6"/>
    <w:rsid w:val="15181E57"/>
    <w:rsid w:val="151E25C1"/>
    <w:rsid w:val="1542500E"/>
    <w:rsid w:val="15436065"/>
    <w:rsid w:val="15453B8B"/>
    <w:rsid w:val="154E6A50"/>
    <w:rsid w:val="154F4A0A"/>
    <w:rsid w:val="155838BF"/>
    <w:rsid w:val="15747FCD"/>
    <w:rsid w:val="157D3325"/>
    <w:rsid w:val="1594066F"/>
    <w:rsid w:val="15B25D27"/>
    <w:rsid w:val="15B6280D"/>
    <w:rsid w:val="15D114D0"/>
    <w:rsid w:val="15D40117"/>
    <w:rsid w:val="15DF1DA1"/>
    <w:rsid w:val="160457F4"/>
    <w:rsid w:val="162722CA"/>
    <w:rsid w:val="16337E88"/>
    <w:rsid w:val="163A7468"/>
    <w:rsid w:val="164D1414"/>
    <w:rsid w:val="16617715"/>
    <w:rsid w:val="16836618"/>
    <w:rsid w:val="16873D30"/>
    <w:rsid w:val="169721C5"/>
    <w:rsid w:val="169A7F07"/>
    <w:rsid w:val="169F00E6"/>
    <w:rsid w:val="16A14DF1"/>
    <w:rsid w:val="16BC7E7D"/>
    <w:rsid w:val="16EA0ADA"/>
    <w:rsid w:val="16EA261B"/>
    <w:rsid w:val="16EA2C3C"/>
    <w:rsid w:val="16FA5427"/>
    <w:rsid w:val="16FB0A86"/>
    <w:rsid w:val="171D53E4"/>
    <w:rsid w:val="173E4767"/>
    <w:rsid w:val="17522DEF"/>
    <w:rsid w:val="17710C68"/>
    <w:rsid w:val="17755872"/>
    <w:rsid w:val="17761B8F"/>
    <w:rsid w:val="178070FD"/>
    <w:rsid w:val="1782376C"/>
    <w:rsid w:val="17973530"/>
    <w:rsid w:val="179C1139"/>
    <w:rsid w:val="17A11F06"/>
    <w:rsid w:val="17A27073"/>
    <w:rsid w:val="17AF1790"/>
    <w:rsid w:val="17B60D70"/>
    <w:rsid w:val="17BB2119"/>
    <w:rsid w:val="17D66F8B"/>
    <w:rsid w:val="17DF5B98"/>
    <w:rsid w:val="17E006E7"/>
    <w:rsid w:val="17E94DE3"/>
    <w:rsid w:val="17EE050A"/>
    <w:rsid w:val="17F34F79"/>
    <w:rsid w:val="17F51140"/>
    <w:rsid w:val="17FE0021"/>
    <w:rsid w:val="1808436B"/>
    <w:rsid w:val="180F353C"/>
    <w:rsid w:val="18381F0C"/>
    <w:rsid w:val="1850734E"/>
    <w:rsid w:val="1863096A"/>
    <w:rsid w:val="18675A40"/>
    <w:rsid w:val="187C054A"/>
    <w:rsid w:val="187F02D7"/>
    <w:rsid w:val="1881312C"/>
    <w:rsid w:val="189176D0"/>
    <w:rsid w:val="18932C5E"/>
    <w:rsid w:val="18AE1A47"/>
    <w:rsid w:val="18B05AF9"/>
    <w:rsid w:val="18BB5EFD"/>
    <w:rsid w:val="18C748B7"/>
    <w:rsid w:val="18D71900"/>
    <w:rsid w:val="18D92F68"/>
    <w:rsid w:val="19017DC9"/>
    <w:rsid w:val="19240BBF"/>
    <w:rsid w:val="19287A4C"/>
    <w:rsid w:val="192D6E10"/>
    <w:rsid w:val="193208CA"/>
    <w:rsid w:val="19363E0B"/>
    <w:rsid w:val="193950B0"/>
    <w:rsid w:val="1945381D"/>
    <w:rsid w:val="19460E5F"/>
    <w:rsid w:val="197B7B7C"/>
    <w:rsid w:val="198236F2"/>
    <w:rsid w:val="198B44CE"/>
    <w:rsid w:val="198E5682"/>
    <w:rsid w:val="19CF79C9"/>
    <w:rsid w:val="19DB0D66"/>
    <w:rsid w:val="19F811CC"/>
    <w:rsid w:val="1A3348FA"/>
    <w:rsid w:val="1A34114E"/>
    <w:rsid w:val="1A457CBD"/>
    <w:rsid w:val="1A6525DA"/>
    <w:rsid w:val="1A6E76E0"/>
    <w:rsid w:val="1A714AB4"/>
    <w:rsid w:val="1A795BA2"/>
    <w:rsid w:val="1AB175CD"/>
    <w:rsid w:val="1AE41750"/>
    <w:rsid w:val="1AFB6468"/>
    <w:rsid w:val="1B0672F0"/>
    <w:rsid w:val="1B2B3823"/>
    <w:rsid w:val="1B32070E"/>
    <w:rsid w:val="1B7C1C1D"/>
    <w:rsid w:val="1BC71638"/>
    <w:rsid w:val="1BDA68A3"/>
    <w:rsid w:val="1BDF745A"/>
    <w:rsid w:val="1BE6404B"/>
    <w:rsid w:val="1BFD3B34"/>
    <w:rsid w:val="1C000E63"/>
    <w:rsid w:val="1C057BD0"/>
    <w:rsid w:val="1C124D24"/>
    <w:rsid w:val="1C136791"/>
    <w:rsid w:val="1C204054"/>
    <w:rsid w:val="1C246E2F"/>
    <w:rsid w:val="1C453CCA"/>
    <w:rsid w:val="1C6C0E44"/>
    <w:rsid w:val="1C7806D6"/>
    <w:rsid w:val="1C78131E"/>
    <w:rsid w:val="1C7A2024"/>
    <w:rsid w:val="1C854803"/>
    <w:rsid w:val="1C896A53"/>
    <w:rsid w:val="1C8E5E18"/>
    <w:rsid w:val="1C98760D"/>
    <w:rsid w:val="1CA155CD"/>
    <w:rsid w:val="1CA61238"/>
    <w:rsid w:val="1D104A7F"/>
    <w:rsid w:val="1D13456F"/>
    <w:rsid w:val="1D251D19"/>
    <w:rsid w:val="1D397816"/>
    <w:rsid w:val="1D3C0E4D"/>
    <w:rsid w:val="1D6374C3"/>
    <w:rsid w:val="1D753461"/>
    <w:rsid w:val="1D81346A"/>
    <w:rsid w:val="1D8B2357"/>
    <w:rsid w:val="1D937853"/>
    <w:rsid w:val="1DE05F81"/>
    <w:rsid w:val="1DE804EE"/>
    <w:rsid w:val="1DEE51F9"/>
    <w:rsid w:val="1E114F52"/>
    <w:rsid w:val="1E340C41"/>
    <w:rsid w:val="1E4405FF"/>
    <w:rsid w:val="1E440885"/>
    <w:rsid w:val="1E4940A2"/>
    <w:rsid w:val="1E710514"/>
    <w:rsid w:val="1E9953B1"/>
    <w:rsid w:val="1ED24DBD"/>
    <w:rsid w:val="1ED6468E"/>
    <w:rsid w:val="1EDD3F57"/>
    <w:rsid w:val="1EE166B5"/>
    <w:rsid w:val="1EE44CF9"/>
    <w:rsid w:val="1F2C31B8"/>
    <w:rsid w:val="1F2E492C"/>
    <w:rsid w:val="1F34065A"/>
    <w:rsid w:val="1F533349"/>
    <w:rsid w:val="1FC61D6D"/>
    <w:rsid w:val="1FF13C98"/>
    <w:rsid w:val="1FF7223E"/>
    <w:rsid w:val="20120B0E"/>
    <w:rsid w:val="20153232"/>
    <w:rsid w:val="201A21E9"/>
    <w:rsid w:val="2023579A"/>
    <w:rsid w:val="2036562D"/>
    <w:rsid w:val="204607B7"/>
    <w:rsid w:val="204C2272"/>
    <w:rsid w:val="204F39F3"/>
    <w:rsid w:val="20586E69"/>
    <w:rsid w:val="20693F5D"/>
    <w:rsid w:val="20694C22"/>
    <w:rsid w:val="206D3F96"/>
    <w:rsid w:val="20820A01"/>
    <w:rsid w:val="208F1479"/>
    <w:rsid w:val="20A076D5"/>
    <w:rsid w:val="20B35E4D"/>
    <w:rsid w:val="20BC50D1"/>
    <w:rsid w:val="20E553AD"/>
    <w:rsid w:val="20EB1A8B"/>
    <w:rsid w:val="21085F87"/>
    <w:rsid w:val="21093B95"/>
    <w:rsid w:val="210C7C53"/>
    <w:rsid w:val="210F39C9"/>
    <w:rsid w:val="21100F4E"/>
    <w:rsid w:val="21333432"/>
    <w:rsid w:val="21471BB1"/>
    <w:rsid w:val="21665CBA"/>
    <w:rsid w:val="217557F8"/>
    <w:rsid w:val="21780E44"/>
    <w:rsid w:val="2179553A"/>
    <w:rsid w:val="21846496"/>
    <w:rsid w:val="21973638"/>
    <w:rsid w:val="21BA320B"/>
    <w:rsid w:val="21E604A4"/>
    <w:rsid w:val="21E93AF0"/>
    <w:rsid w:val="220F3357"/>
    <w:rsid w:val="221D2944"/>
    <w:rsid w:val="222039B6"/>
    <w:rsid w:val="2243266F"/>
    <w:rsid w:val="22521AF3"/>
    <w:rsid w:val="227D6346"/>
    <w:rsid w:val="22851A6B"/>
    <w:rsid w:val="228F5B46"/>
    <w:rsid w:val="2291491A"/>
    <w:rsid w:val="22916662"/>
    <w:rsid w:val="22937614"/>
    <w:rsid w:val="22DA518E"/>
    <w:rsid w:val="22E449E3"/>
    <w:rsid w:val="22E456C8"/>
    <w:rsid w:val="22EF35BE"/>
    <w:rsid w:val="22F31C41"/>
    <w:rsid w:val="2318166A"/>
    <w:rsid w:val="231B7000"/>
    <w:rsid w:val="233D2346"/>
    <w:rsid w:val="236773C3"/>
    <w:rsid w:val="23715D45"/>
    <w:rsid w:val="2381415A"/>
    <w:rsid w:val="23843AD1"/>
    <w:rsid w:val="23934B0E"/>
    <w:rsid w:val="23960F84"/>
    <w:rsid w:val="23B74A16"/>
    <w:rsid w:val="23D902C0"/>
    <w:rsid w:val="23E05B77"/>
    <w:rsid w:val="23EA011A"/>
    <w:rsid w:val="23EA6D9A"/>
    <w:rsid w:val="23F20755"/>
    <w:rsid w:val="23F65B92"/>
    <w:rsid w:val="23F81386"/>
    <w:rsid w:val="24257F68"/>
    <w:rsid w:val="242770AF"/>
    <w:rsid w:val="242B36A1"/>
    <w:rsid w:val="24417C14"/>
    <w:rsid w:val="244A1E6D"/>
    <w:rsid w:val="245636BF"/>
    <w:rsid w:val="245A6FE4"/>
    <w:rsid w:val="245D1163"/>
    <w:rsid w:val="248F6BD1"/>
    <w:rsid w:val="249C557D"/>
    <w:rsid w:val="249E597D"/>
    <w:rsid w:val="249F604C"/>
    <w:rsid w:val="24A34A10"/>
    <w:rsid w:val="24A85EE5"/>
    <w:rsid w:val="24B178F2"/>
    <w:rsid w:val="24C30642"/>
    <w:rsid w:val="24E21DF2"/>
    <w:rsid w:val="24E408F9"/>
    <w:rsid w:val="251F7670"/>
    <w:rsid w:val="25205B1C"/>
    <w:rsid w:val="25357778"/>
    <w:rsid w:val="25640526"/>
    <w:rsid w:val="257225F5"/>
    <w:rsid w:val="2574760F"/>
    <w:rsid w:val="258129BE"/>
    <w:rsid w:val="258A21B9"/>
    <w:rsid w:val="259721E1"/>
    <w:rsid w:val="25A61E59"/>
    <w:rsid w:val="25B53361"/>
    <w:rsid w:val="25CE3729"/>
    <w:rsid w:val="25D0564E"/>
    <w:rsid w:val="25DD6812"/>
    <w:rsid w:val="26025181"/>
    <w:rsid w:val="26143832"/>
    <w:rsid w:val="26200FFF"/>
    <w:rsid w:val="26210AB3"/>
    <w:rsid w:val="262F70DB"/>
    <w:rsid w:val="267F646A"/>
    <w:rsid w:val="26814D9A"/>
    <w:rsid w:val="26D76693"/>
    <w:rsid w:val="27206206"/>
    <w:rsid w:val="273A7FD8"/>
    <w:rsid w:val="27410762"/>
    <w:rsid w:val="27660F92"/>
    <w:rsid w:val="27671621"/>
    <w:rsid w:val="276A122F"/>
    <w:rsid w:val="27725098"/>
    <w:rsid w:val="278517E5"/>
    <w:rsid w:val="279E3717"/>
    <w:rsid w:val="27A410BB"/>
    <w:rsid w:val="27B801ED"/>
    <w:rsid w:val="27BE67A3"/>
    <w:rsid w:val="27C97FD7"/>
    <w:rsid w:val="27CF6250"/>
    <w:rsid w:val="27D34847"/>
    <w:rsid w:val="27EF6969"/>
    <w:rsid w:val="27FB6DFA"/>
    <w:rsid w:val="280C4BDA"/>
    <w:rsid w:val="281D62A2"/>
    <w:rsid w:val="28445F24"/>
    <w:rsid w:val="285E0D94"/>
    <w:rsid w:val="28893937"/>
    <w:rsid w:val="28924EE2"/>
    <w:rsid w:val="28BB2C12"/>
    <w:rsid w:val="28DD0B39"/>
    <w:rsid w:val="28E04AA5"/>
    <w:rsid w:val="28F11C08"/>
    <w:rsid w:val="28F33863"/>
    <w:rsid w:val="28F72F97"/>
    <w:rsid w:val="29226A55"/>
    <w:rsid w:val="29257B04"/>
    <w:rsid w:val="292B5D48"/>
    <w:rsid w:val="2944442E"/>
    <w:rsid w:val="294D3E2B"/>
    <w:rsid w:val="295977AD"/>
    <w:rsid w:val="29695C42"/>
    <w:rsid w:val="2987431B"/>
    <w:rsid w:val="29C42E79"/>
    <w:rsid w:val="29F01EC0"/>
    <w:rsid w:val="29F55728"/>
    <w:rsid w:val="29FE4D73"/>
    <w:rsid w:val="2A052D02"/>
    <w:rsid w:val="2A522B7B"/>
    <w:rsid w:val="2A81749E"/>
    <w:rsid w:val="2A8D3BB3"/>
    <w:rsid w:val="2A97233B"/>
    <w:rsid w:val="2AB23619"/>
    <w:rsid w:val="2AC50A06"/>
    <w:rsid w:val="2AE30C02"/>
    <w:rsid w:val="2AEB1C54"/>
    <w:rsid w:val="2B033E75"/>
    <w:rsid w:val="2B1A2001"/>
    <w:rsid w:val="2B25590C"/>
    <w:rsid w:val="2B2A0DD9"/>
    <w:rsid w:val="2B345DDC"/>
    <w:rsid w:val="2B346A6E"/>
    <w:rsid w:val="2B673946"/>
    <w:rsid w:val="2B6D2330"/>
    <w:rsid w:val="2B8925CC"/>
    <w:rsid w:val="2B8B1F0B"/>
    <w:rsid w:val="2B9769EF"/>
    <w:rsid w:val="2BA52670"/>
    <w:rsid w:val="2BC04A6E"/>
    <w:rsid w:val="2BCE61AA"/>
    <w:rsid w:val="2BD167D4"/>
    <w:rsid w:val="2BD262FE"/>
    <w:rsid w:val="2BEE0681"/>
    <w:rsid w:val="2BEF1E93"/>
    <w:rsid w:val="2BF57C61"/>
    <w:rsid w:val="2C0441B9"/>
    <w:rsid w:val="2C206C76"/>
    <w:rsid w:val="2C352792"/>
    <w:rsid w:val="2C4D1D45"/>
    <w:rsid w:val="2C506C46"/>
    <w:rsid w:val="2C5A1660"/>
    <w:rsid w:val="2C6906C5"/>
    <w:rsid w:val="2C892158"/>
    <w:rsid w:val="2C992537"/>
    <w:rsid w:val="2CA63A0C"/>
    <w:rsid w:val="2CA945A8"/>
    <w:rsid w:val="2CB856FA"/>
    <w:rsid w:val="2CB92FBA"/>
    <w:rsid w:val="2CCA7369"/>
    <w:rsid w:val="2CD17F8E"/>
    <w:rsid w:val="2CD92287"/>
    <w:rsid w:val="2CE42449"/>
    <w:rsid w:val="2CF41CC7"/>
    <w:rsid w:val="2CF901CB"/>
    <w:rsid w:val="2D0E2EAB"/>
    <w:rsid w:val="2D2740C8"/>
    <w:rsid w:val="2D3D2774"/>
    <w:rsid w:val="2D486F18"/>
    <w:rsid w:val="2D577458"/>
    <w:rsid w:val="2D863406"/>
    <w:rsid w:val="2D8C5601"/>
    <w:rsid w:val="2D913DED"/>
    <w:rsid w:val="2D93752A"/>
    <w:rsid w:val="2D9C7325"/>
    <w:rsid w:val="2DDC1CCB"/>
    <w:rsid w:val="2E0C4417"/>
    <w:rsid w:val="2E941350"/>
    <w:rsid w:val="2EB23BE8"/>
    <w:rsid w:val="2EB41B62"/>
    <w:rsid w:val="2EC04496"/>
    <w:rsid w:val="2EF05832"/>
    <w:rsid w:val="2EF94868"/>
    <w:rsid w:val="2F0852D9"/>
    <w:rsid w:val="2F34313F"/>
    <w:rsid w:val="2F6A001E"/>
    <w:rsid w:val="2F6D69D8"/>
    <w:rsid w:val="2F707246"/>
    <w:rsid w:val="2F833C5A"/>
    <w:rsid w:val="2F8C55D3"/>
    <w:rsid w:val="2F8F68D7"/>
    <w:rsid w:val="2FB11F26"/>
    <w:rsid w:val="2FC56F0F"/>
    <w:rsid w:val="2FDC53A2"/>
    <w:rsid w:val="2FEA1011"/>
    <w:rsid w:val="30152FAF"/>
    <w:rsid w:val="301A429D"/>
    <w:rsid w:val="30204B81"/>
    <w:rsid w:val="303F594F"/>
    <w:rsid w:val="3050063B"/>
    <w:rsid w:val="30730F46"/>
    <w:rsid w:val="308E3854"/>
    <w:rsid w:val="30AC3029"/>
    <w:rsid w:val="30AE29C9"/>
    <w:rsid w:val="30B11C7D"/>
    <w:rsid w:val="30D96948"/>
    <w:rsid w:val="30EA758D"/>
    <w:rsid w:val="30F007E1"/>
    <w:rsid w:val="30FF1132"/>
    <w:rsid w:val="31140B8A"/>
    <w:rsid w:val="313E3132"/>
    <w:rsid w:val="31532D34"/>
    <w:rsid w:val="31552F50"/>
    <w:rsid w:val="31684861"/>
    <w:rsid w:val="316B62D0"/>
    <w:rsid w:val="316F69AC"/>
    <w:rsid w:val="3187681F"/>
    <w:rsid w:val="31921AAF"/>
    <w:rsid w:val="31A0241D"/>
    <w:rsid w:val="31A16195"/>
    <w:rsid w:val="31AF1E4F"/>
    <w:rsid w:val="31B12B1C"/>
    <w:rsid w:val="31C0200B"/>
    <w:rsid w:val="31D454B2"/>
    <w:rsid w:val="31E3055C"/>
    <w:rsid w:val="31EA5D14"/>
    <w:rsid w:val="31F84007"/>
    <w:rsid w:val="32073B23"/>
    <w:rsid w:val="321D5445"/>
    <w:rsid w:val="322748ED"/>
    <w:rsid w:val="322F7A3D"/>
    <w:rsid w:val="32456B21"/>
    <w:rsid w:val="325B159C"/>
    <w:rsid w:val="3261555E"/>
    <w:rsid w:val="3268123E"/>
    <w:rsid w:val="326E3886"/>
    <w:rsid w:val="32700042"/>
    <w:rsid w:val="32764EA2"/>
    <w:rsid w:val="329674B7"/>
    <w:rsid w:val="3299636E"/>
    <w:rsid w:val="32A24F93"/>
    <w:rsid w:val="32A25D21"/>
    <w:rsid w:val="32B75C71"/>
    <w:rsid w:val="32C039D7"/>
    <w:rsid w:val="32C13713"/>
    <w:rsid w:val="32C217A8"/>
    <w:rsid w:val="32CA07BD"/>
    <w:rsid w:val="32CE2FBA"/>
    <w:rsid w:val="32E00973"/>
    <w:rsid w:val="32EE71B8"/>
    <w:rsid w:val="330340CC"/>
    <w:rsid w:val="330B29DF"/>
    <w:rsid w:val="331D64C1"/>
    <w:rsid w:val="332D769C"/>
    <w:rsid w:val="33456DAC"/>
    <w:rsid w:val="334D3EDF"/>
    <w:rsid w:val="335949E2"/>
    <w:rsid w:val="33603545"/>
    <w:rsid w:val="33750FD2"/>
    <w:rsid w:val="338D28C6"/>
    <w:rsid w:val="339949EA"/>
    <w:rsid w:val="33B33157"/>
    <w:rsid w:val="33D62126"/>
    <w:rsid w:val="33E317DE"/>
    <w:rsid w:val="33EA3E24"/>
    <w:rsid w:val="33F20F2A"/>
    <w:rsid w:val="34313801"/>
    <w:rsid w:val="34515C51"/>
    <w:rsid w:val="345C4021"/>
    <w:rsid w:val="346C65E7"/>
    <w:rsid w:val="346D548C"/>
    <w:rsid w:val="3472121E"/>
    <w:rsid w:val="34754A14"/>
    <w:rsid w:val="347A51A8"/>
    <w:rsid w:val="34A420B3"/>
    <w:rsid w:val="34A838F8"/>
    <w:rsid w:val="34DB551B"/>
    <w:rsid w:val="34E45EB7"/>
    <w:rsid w:val="34E85630"/>
    <w:rsid w:val="34F34F5A"/>
    <w:rsid w:val="34F53D2E"/>
    <w:rsid w:val="34F94ED5"/>
    <w:rsid w:val="35050515"/>
    <w:rsid w:val="35081CEA"/>
    <w:rsid w:val="353351EF"/>
    <w:rsid w:val="353D6627"/>
    <w:rsid w:val="358A13AD"/>
    <w:rsid w:val="35B4082B"/>
    <w:rsid w:val="35C6441D"/>
    <w:rsid w:val="35DC2769"/>
    <w:rsid w:val="35DF4BE0"/>
    <w:rsid w:val="36012288"/>
    <w:rsid w:val="360311CD"/>
    <w:rsid w:val="362829E1"/>
    <w:rsid w:val="36301896"/>
    <w:rsid w:val="366A2FFA"/>
    <w:rsid w:val="366D1C16"/>
    <w:rsid w:val="368A71F8"/>
    <w:rsid w:val="36D861B6"/>
    <w:rsid w:val="36E8020E"/>
    <w:rsid w:val="370E607B"/>
    <w:rsid w:val="37154EA7"/>
    <w:rsid w:val="372907BF"/>
    <w:rsid w:val="37634043"/>
    <w:rsid w:val="376F1D0E"/>
    <w:rsid w:val="37730884"/>
    <w:rsid w:val="37731622"/>
    <w:rsid w:val="379B3D03"/>
    <w:rsid w:val="37AF3247"/>
    <w:rsid w:val="37BE184F"/>
    <w:rsid w:val="37C31FF8"/>
    <w:rsid w:val="37DC7A53"/>
    <w:rsid w:val="37DF5322"/>
    <w:rsid w:val="37EC020A"/>
    <w:rsid w:val="37F52D97"/>
    <w:rsid w:val="37FC5ED4"/>
    <w:rsid w:val="380012E1"/>
    <w:rsid w:val="380218CD"/>
    <w:rsid w:val="3823002D"/>
    <w:rsid w:val="3827320B"/>
    <w:rsid w:val="382C7DC4"/>
    <w:rsid w:val="387E18E0"/>
    <w:rsid w:val="388432BD"/>
    <w:rsid w:val="38B467AE"/>
    <w:rsid w:val="38BA0794"/>
    <w:rsid w:val="390D65DD"/>
    <w:rsid w:val="391A2AB5"/>
    <w:rsid w:val="39296CF1"/>
    <w:rsid w:val="393002C4"/>
    <w:rsid w:val="393B3AA4"/>
    <w:rsid w:val="3991089E"/>
    <w:rsid w:val="39A61E50"/>
    <w:rsid w:val="39F45E7D"/>
    <w:rsid w:val="39FC7E7C"/>
    <w:rsid w:val="3A26548A"/>
    <w:rsid w:val="3A2D3D16"/>
    <w:rsid w:val="3A2E21B4"/>
    <w:rsid w:val="3A747FD4"/>
    <w:rsid w:val="3AAA55B4"/>
    <w:rsid w:val="3AB517E1"/>
    <w:rsid w:val="3AC21656"/>
    <w:rsid w:val="3AEA64B7"/>
    <w:rsid w:val="3B2F036E"/>
    <w:rsid w:val="3B365BA1"/>
    <w:rsid w:val="3B445ECE"/>
    <w:rsid w:val="3B6E6A2D"/>
    <w:rsid w:val="3B8B0D18"/>
    <w:rsid w:val="3B9B7B9A"/>
    <w:rsid w:val="3BD60AAE"/>
    <w:rsid w:val="3C172AFD"/>
    <w:rsid w:val="3C3C71E7"/>
    <w:rsid w:val="3C43388C"/>
    <w:rsid w:val="3C446708"/>
    <w:rsid w:val="3C534279"/>
    <w:rsid w:val="3C5C1637"/>
    <w:rsid w:val="3C932CCF"/>
    <w:rsid w:val="3C975423"/>
    <w:rsid w:val="3C9F519F"/>
    <w:rsid w:val="3CA07775"/>
    <w:rsid w:val="3CB334CC"/>
    <w:rsid w:val="3CBB2F57"/>
    <w:rsid w:val="3CF0088C"/>
    <w:rsid w:val="3CFE449C"/>
    <w:rsid w:val="3D681E0D"/>
    <w:rsid w:val="3D7634AA"/>
    <w:rsid w:val="3D9848F1"/>
    <w:rsid w:val="3D98669F"/>
    <w:rsid w:val="3DC833B9"/>
    <w:rsid w:val="3DC92CFC"/>
    <w:rsid w:val="3DCE0E5A"/>
    <w:rsid w:val="3DE73182"/>
    <w:rsid w:val="3DE9514C"/>
    <w:rsid w:val="3DF21B38"/>
    <w:rsid w:val="3E171CB9"/>
    <w:rsid w:val="3E415BF9"/>
    <w:rsid w:val="3E43485C"/>
    <w:rsid w:val="3E4B1963"/>
    <w:rsid w:val="3E5D4A55"/>
    <w:rsid w:val="3EAE65E9"/>
    <w:rsid w:val="3EBF0021"/>
    <w:rsid w:val="3F006527"/>
    <w:rsid w:val="3F0D6C18"/>
    <w:rsid w:val="3F0E2A4F"/>
    <w:rsid w:val="3F1E1261"/>
    <w:rsid w:val="3F204B9E"/>
    <w:rsid w:val="3F356563"/>
    <w:rsid w:val="3F4B055B"/>
    <w:rsid w:val="3F520365"/>
    <w:rsid w:val="3F7F3B03"/>
    <w:rsid w:val="3F8844F1"/>
    <w:rsid w:val="3F904654"/>
    <w:rsid w:val="3FB84B18"/>
    <w:rsid w:val="3FC76DC7"/>
    <w:rsid w:val="3FE47979"/>
    <w:rsid w:val="3FEB52B2"/>
    <w:rsid w:val="3FF73B50"/>
    <w:rsid w:val="40112738"/>
    <w:rsid w:val="403A1C8F"/>
    <w:rsid w:val="403E177F"/>
    <w:rsid w:val="40414DCB"/>
    <w:rsid w:val="40523B6B"/>
    <w:rsid w:val="406125E8"/>
    <w:rsid w:val="40732A93"/>
    <w:rsid w:val="407C0993"/>
    <w:rsid w:val="407D3DCA"/>
    <w:rsid w:val="408B4299"/>
    <w:rsid w:val="40A86EF8"/>
    <w:rsid w:val="40BA710F"/>
    <w:rsid w:val="40BF62A0"/>
    <w:rsid w:val="40D73362"/>
    <w:rsid w:val="40E4724F"/>
    <w:rsid w:val="40E65973"/>
    <w:rsid w:val="40F956A6"/>
    <w:rsid w:val="412A5860"/>
    <w:rsid w:val="412E258A"/>
    <w:rsid w:val="414E0F67"/>
    <w:rsid w:val="41515DBA"/>
    <w:rsid w:val="41670862"/>
    <w:rsid w:val="417E204F"/>
    <w:rsid w:val="41931657"/>
    <w:rsid w:val="41BE4CC7"/>
    <w:rsid w:val="41E2317E"/>
    <w:rsid w:val="41FD11C6"/>
    <w:rsid w:val="4217543A"/>
    <w:rsid w:val="421B64F8"/>
    <w:rsid w:val="421D53C4"/>
    <w:rsid w:val="422D009D"/>
    <w:rsid w:val="423218CB"/>
    <w:rsid w:val="42651B0A"/>
    <w:rsid w:val="428C46CB"/>
    <w:rsid w:val="429C09DF"/>
    <w:rsid w:val="42BC7C4A"/>
    <w:rsid w:val="42F703B3"/>
    <w:rsid w:val="43067209"/>
    <w:rsid w:val="432F1853"/>
    <w:rsid w:val="43323E17"/>
    <w:rsid w:val="433E4EB8"/>
    <w:rsid w:val="435003AA"/>
    <w:rsid w:val="436F7EA2"/>
    <w:rsid w:val="437E1E93"/>
    <w:rsid w:val="438A4CDB"/>
    <w:rsid w:val="439A7535"/>
    <w:rsid w:val="43D61CCF"/>
    <w:rsid w:val="43DB0039"/>
    <w:rsid w:val="43F453AD"/>
    <w:rsid w:val="43FC5F3D"/>
    <w:rsid w:val="43FD78B2"/>
    <w:rsid w:val="44022F83"/>
    <w:rsid w:val="44205EDD"/>
    <w:rsid w:val="442B63A9"/>
    <w:rsid w:val="443C10EF"/>
    <w:rsid w:val="443F223E"/>
    <w:rsid w:val="44430C8C"/>
    <w:rsid w:val="445F6638"/>
    <w:rsid w:val="44D30219"/>
    <w:rsid w:val="44E16B7D"/>
    <w:rsid w:val="45126FAA"/>
    <w:rsid w:val="453E79A8"/>
    <w:rsid w:val="455B692F"/>
    <w:rsid w:val="45795008"/>
    <w:rsid w:val="457D2540"/>
    <w:rsid w:val="458C355D"/>
    <w:rsid w:val="459F064A"/>
    <w:rsid w:val="45AC1A45"/>
    <w:rsid w:val="45B63B66"/>
    <w:rsid w:val="45C53DA9"/>
    <w:rsid w:val="45E2683F"/>
    <w:rsid w:val="45EC57D9"/>
    <w:rsid w:val="45F4468E"/>
    <w:rsid w:val="45F66658"/>
    <w:rsid w:val="4602560C"/>
    <w:rsid w:val="46220201"/>
    <w:rsid w:val="466229CE"/>
    <w:rsid w:val="46980FF1"/>
    <w:rsid w:val="46992276"/>
    <w:rsid w:val="46C563F1"/>
    <w:rsid w:val="46CB4810"/>
    <w:rsid w:val="46CC0D09"/>
    <w:rsid w:val="46CD4158"/>
    <w:rsid w:val="46DE0AE4"/>
    <w:rsid w:val="46DE2CE2"/>
    <w:rsid w:val="46F679DA"/>
    <w:rsid w:val="47054D84"/>
    <w:rsid w:val="47452751"/>
    <w:rsid w:val="474D22A8"/>
    <w:rsid w:val="475C073D"/>
    <w:rsid w:val="475C272B"/>
    <w:rsid w:val="475F7049"/>
    <w:rsid w:val="476F0D06"/>
    <w:rsid w:val="47AC4F44"/>
    <w:rsid w:val="47B73BC5"/>
    <w:rsid w:val="47C03D18"/>
    <w:rsid w:val="47C34065"/>
    <w:rsid w:val="47D06A35"/>
    <w:rsid w:val="47EC613F"/>
    <w:rsid w:val="47F72214"/>
    <w:rsid w:val="480519D1"/>
    <w:rsid w:val="482E20A5"/>
    <w:rsid w:val="483857BB"/>
    <w:rsid w:val="48712CFC"/>
    <w:rsid w:val="487B5B3E"/>
    <w:rsid w:val="488A3088"/>
    <w:rsid w:val="48B40105"/>
    <w:rsid w:val="48BD345D"/>
    <w:rsid w:val="48C950E1"/>
    <w:rsid w:val="48DE3FB0"/>
    <w:rsid w:val="48FD5F50"/>
    <w:rsid w:val="49007D2D"/>
    <w:rsid w:val="492E5776"/>
    <w:rsid w:val="4964727B"/>
    <w:rsid w:val="4972249A"/>
    <w:rsid w:val="497E16E5"/>
    <w:rsid w:val="49892799"/>
    <w:rsid w:val="498A62DA"/>
    <w:rsid w:val="49916FD6"/>
    <w:rsid w:val="49A0310B"/>
    <w:rsid w:val="49A346C1"/>
    <w:rsid w:val="49A75D68"/>
    <w:rsid w:val="49C3504F"/>
    <w:rsid w:val="49D20074"/>
    <w:rsid w:val="49D26003"/>
    <w:rsid w:val="49DB1DED"/>
    <w:rsid w:val="49DF5F0E"/>
    <w:rsid w:val="49FF5F2F"/>
    <w:rsid w:val="4A026538"/>
    <w:rsid w:val="4A034822"/>
    <w:rsid w:val="4A227A1C"/>
    <w:rsid w:val="4A2C2290"/>
    <w:rsid w:val="4A3576F0"/>
    <w:rsid w:val="4A4500C5"/>
    <w:rsid w:val="4A537640"/>
    <w:rsid w:val="4A5E5147"/>
    <w:rsid w:val="4A8C3459"/>
    <w:rsid w:val="4AC4752B"/>
    <w:rsid w:val="4AD4266E"/>
    <w:rsid w:val="4B221C9D"/>
    <w:rsid w:val="4B357006"/>
    <w:rsid w:val="4B3774F7"/>
    <w:rsid w:val="4B481704"/>
    <w:rsid w:val="4B4E1FC9"/>
    <w:rsid w:val="4B69167A"/>
    <w:rsid w:val="4B74403A"/>
    <w:rsid w:val="4B756271"/>
    <w:rsid w:val="4B7C13AE"/>
    <w:rsid w:val="4B7F49FA"/>
    <w:rsid w:val="4B867F1B"/>
    <w:rsid w:val="4B8D2AFB"/>
    <w:rsid w:val="4B9F3EF1"/>
    <w:rsid w:val="4BC74135"/>
    <w:rsid w:val="4BCE2302"/>
    <w:rsid w:val="4BCF29E0"/>
    <w:rsid w:val="4BF41D25"/>
    <w:rsid w:val="4C76404F"/>
    <w:rsid w:val="4C981403"/>
    <w:rsid w:val="4C9D3123"/>
    <w:rsid w:val="4CA00F55"/>
    <w:rsid w:val="4CC528E0"/>
    <w:rsid w:val="4CC75807"/>
    <w:rsid w:val="4CE23316"/>
    <w:rsid w:val="4CE54D31"/>
    <w:rsid w:val="4CF82CB6"/>
    <w:rsid w:val="4D023E06"/>
    <w:rsid w:val="4D167CC4"/>
    <w:rsid w:val="4D210E1E"/>
    <w:rsid w:val="4D296F49"/>
    <w:rsid w:val="4D3B0DF4"/>
    <w:rsid w:val="4D6A0BF8"/>
    <w:rsid w:val="4D8B6D06"/>
    <w:rsid w:val="4D9B7610"/>
    <w:rsid w:val="4D9D7E03"/>
    <w:rsid w:val="4DC1754C"/>
    <w:rsid w:val="4DE20FB0"/>
    <w:rsid w:val="4DE374C2"/>
    <w:rsid w:val="4E393586"/>
    <w:rsid w:val="4E3F66C2"/>
    <w:rsid w:val="4E4413B4"/>
    <w:rsid w:val="4E564138"/>
    <w:rsid w:val="4E594142"/>
    <w:rsid w:val="4E711778"/>
    <w:rsid w:val="4E807407"/>
    <w:rsid w:val="4EC513FE"/>
    <w:rsid w:val="4ECA68D4"/>
    <w:rsid w:val="4ECC7F56"/>
    <w:rsid w:val="4ED4361A"/>
    <w:rsid w:val="4ED97A1F"/>
    <w:rsid w:val="4EDA656A"/>
    <w:rsid w:val="4EE554BC"/>
    <w:rsid w:val="4EEE1338"/>
    <w:rsid w:val="4F2064F4"/>
    <w:rsid w:val="4F271630"/>
    <w:rsid w:val="4F2A6D73"/>
    <w:rsid w:val="4F344AEC"/>
    <w:rsid w:val="4F377967"/>
    <w:rsid w:val="4F3A01B4"/>
    <w:rsid w:val="4F5B139B"/>
    <w:rsid w:val="4F620028"/>
    <w:rsid w:val="4F721E8F"/>
    <w:rsid w:val="4F825845"/>
    <w:rsid w:val="4F965C39"/>
    <w:rsid w:val="4F9C102D"/>
    <w:rsid w:val="4FAF4321"/>
    <w:rsid w:val="4FBD2996"/>
    <w:rsid w:val="4FCD667C"/>
    <w:rsid w:val="4FCE5F50"/>
    <w:rsid w:val="4FD317B8"/>
    <w:rsid w:val="4FFA4F97"/>
    <w:rsid w:val="50047BC4"/>
    <w:rsid w:val="50083C46"/>
    <w:rsid w:val="501B05E0"/>
    <w:rsid w:val="501B6D91"/>
    <w:rsid w:val="501E11CB"/>
    <w:rsid w:val="503F3946"/>
    <w:rsid w:val="50446212"/>
    <w:rsid w:val="507636B6"/>
    <w:rsid w:val="508043C3"/>
    <w:rsid w:val="50A64541"/>
    <w:rsid w:val="50DF5A3D"/>
    <w:rsid w:val="511C421F"/>
    <w:rsid w:val="512E29CE"/>
    <w:rsid w:val="513D2675"/>
    <w:rsid w:val="51500F8C"/>
    <w:rsid w:val="515801C7"/>
    <w:rsid w:val="516A1CA8"/>
    <w:rsid w:val="51791EEB"/>
    <w:rsid w:val="517D4525"/>
    <w:rsid w:val="51A8788A"/>
    <w:rsid w:val="51CB2ADF"/>
    <w:rsid w:val="51EA7C34"/>
    <w:rsid w:val="520221B8"/>
    <w:rsid w:val="52186016"/>
    <w:rsid w:val="52445C69"/>
    <w:rsid w:val="52512E21"/>
    <w:rsid w:val="525F123E"/>
    <w:rsid w:val="526A6404"/>
    <w:rsid w:val="52A82BD4"/>
    <w:rsid w:val="53081779"/>
    <w:rsid w:val="534A1D91"/>
    <w:rsid w:val="5356513C"/>
    <w:rsid w:val="535D6464"/>
    <w:rsid w:val="535E6182"/>
    <w:rsid w:val="53635603"/>
    <w:rsid w:val="53645F00"/>
    <w:rsid w:val="537A201C"/>
    <w:rsid w:val="537D0AA5"/>
    <w:rsid w:val="53A476F3"/>
    <w:rsid w:val="53A50890"/>
    <w:rsid w:val="53D2468F"/>
    <w:rsid w:val="53FB0F0D"/>
    <w:rsid w:val="53FC232F"/>
    <w:rsid w:val="54025286"/>
    <w:rsid w:val="5429279F"/>
    <w:rsid w:val="545A3C47"/>
    <w:rsid w:val="546952CE"/>
    <w:rsid w:val="546F3D05"/>
    <w:rsid w:val="5479147D"/>
    <w:rsid w:val="547A51BD"/>
    <w:rsid w:val="5488368C"/>
    <w:rsid w:val="54AB66A9"/>
    <w:rsid w:val="54BE7231"/>
    <w:rsid w:val="54C12FFB"/>
    <w:rsid w:val="54CC34BC"/>
    <w:rsid w:val="55110475"/>
    <w:rsid w:val="552969B2"/>
    <w:rsid w:val="55370461"/>
    <w:rsid w:val="5540169E"/>
    <w:rsid w:val="55492C98"/>
    <w:rsid w:val="55542B06"/>
    <w:rsid w:val="55603AEE"/>
    <w:rsid w:val="556E609B"/>
    <w:rsid w:val="55852E62"/>
    <w:rsid w:val="559D089E"/>
    <w:rsid w:val="55A559A5"/>
    <w:rsid w:val="55AB2A19"/>
    <w:rsid w:val="55C33144"/>
    <w:rsid w:val="55E95A93"/>
    <w:rsid w:val="55EE2EA8"/>
    <w:rsid w:val="560721BC"/>
    <w:rsid w:val="56091A90"/>
    <w:rsid w:val="56197231"/>
    <w:rsid w:val="561F417C"/>
    <w:rsid w:val="56331779"/>
    <w:rsid w:val="564156CE"/>
    <w:rsid w:val="564E4D6E"/>
    <w:rsid w:val="56835CE6"/>
    <w:rsid w:val="568F32C7"/>
    <w:rsid w:val="569B1361"/>
    <w:rsid w:val="56A33C92"/>
    <w:rsid w:val="56B0568C"/>
    <w:rsid w:val="56BA73D7"/>
    <w:rsid w:val="56BF30D8"/>
    <w:rsid w:val="56DC53F6"/>
    <w:rsid w:val="571D00AA"/>
    <w:rsid w:val="571F7091"/>
    <w:rsid w:val="576C5B65"/>
    <w:rsid w:val="577D0633"/>
    <w:rsid w:val="579B705F"/>
    <w:rsid w:val="57A740CF"/>
    <w:rsid w:val="57C36DC2"/>
    <w:rsid w:val="57E3272C"/>
    <w:rsid w:val="57F54BF5"/>
    <w:rsid w:val="581F559B"/>
    <w:rsid w:val="58214F74"/>
    <w:rsid w:val="58291826"/>
    <w:rsid w:val="583F2534"/>
    <w:rsid w:val="5841101A"/>
    <w:rsid w:val="58472D78"/>
    <w:rsid w:val="584E2170"/>
    <w:rsid w:val="589615CC"/>
    <w:rsid w:val="589B3DBF"/>
    <w:rsid w:val="58A6407A"/>
    <w:rsid w:val="58AB1A06"/>
    <w:rsid w:val="58AC0AB7"/>
    <w:rsid w:val="58AC2BA6"/>
    <w:rsid w:val="58B96858"/>
    <w:rsid w:val="58EF1411"/>
    <w:rsid w:val="590A624B"/>
    <w:rsid w:val="5914321D"/>
    <w:rsid w:val="59352B9C"/>
    <w:rsid w:val="59411241"/>
    <w:rsid w:val="59457283"/>
    <w:rsid w:val="59723DF0"/>
    <w:rsid w:val="59796F2C"/>
    <w:rsid w:val="598F47DA"/>
    <w:rsid w:val="59A541C5"/>
    <w:rsid w:val="59B879AF"/>
    <w:rsid w:val="59BC631B"/>
    <w:rsid w:val="59DB7BE7"/>
    <w:rsid w:val="59E20F76"/>
    <w:rsid w:val="59E81C22"/>
    <w:rsid w:val="59F02BEC"/>
    <w:rsid w:val="5A0C35F0"/>
    <w:rsid w:val="5A0E1D6B"/>
    <w:rsid w:val="5A1153B7"/>
    <w:rsid w:val="5A180302"/>
    <w:rsid w:val="5A3317D1"/>
    <w:rsid w:val="5A3966BC"/>
    <w:rsid w:val="5A421A14"/>
    <w:rsid w:val="5A480DFA"/>
    <w:rsid w:val="5A8738CB"/>
    <w:rsid w:val="5AA01874"/>
    <w:rsid w:val="5AA91AFA"/>
    <w:rsid w:val="5AAE070E"/>
    <w:rsid w:val="5ABF45F9"/>
    <w:rsid w:val="5ACB4DD0"/>
    <w:rsid w:val="5AE86F4F"/>
    <w:rsid w:val="5AEE56F8"/>
    <w:rsid w:val="5AFE4E11"/>
    <w:rsid w:val="5B1C7751"/>
    <w:rsid w:val="5B2335F4"/>
    <w:rsid w:val="5B295C3E"/>
    <w:rsid w:val="5B2D48AB"/>
    <w:rsid w:val="5B2E1B7A"/>
    <w:rsid w:val="5B3F5785"/>
    <w:rsid w:val="5B41235B"/>
    <w:rsid w:val="5B810FCA"/>
    <w:rsid w:val="5BA079F2"/>
    <w:rsid w:val="5BB0286D"/>
    <w:rsid w:val="5BC97614"/>
    <w:rsid w:val="5BF153D2"/>
    <w:rsid w:val="5C30367B"/>
    <w:rsid w:val="5C341831"/>
    <w:rsid w:val="5C483518"/>
    <w:rsid w:val="5C4952DC"/>
    <w:rsid w:val="5C4B1054"/>
    <w:rsid w:val="5C5C1504"/>
    <w:rsid w:val="5C722C49"/>
    <w:rsid w:val="5C8245E8"/>
    <w:rsid w:val="5CA00C74"/>
    <w:rsid w:val="5CC10887"/>
    <w:rsid w:val="5CD252D1"/>
    <w:rsid w:val="5CDF3C3F"/>
    <w:rsid w:val="5CFE10A9"/>
    <w:rsid w:val="5CFE1B98"/>
    <w:rsid w:val="5D174E5B"/>
    <w:rsid w:val="5D460499"/>
    <w:rsid w:val="5D4E3387"/>
    <w:rsid w:val="5D6323CD"/>
    <w:rsid w:val="5D6776C4"/>
    <w:rsid w:val="5D69550A"/>
    <w:rsid w:val="5D7E2D63"/>
    <w:rsid w:val="5D995DEF"/>
    <w:rsid w:val="5D9D79EF"/>
    <w:rsid w:val="5DC21BCA"/>
    <w:rsid w:val="5DCA41FA"/>
    <w:rsid w:val="5DDA1A51"/>
    <w:rsid w:val="5DED7EC5"/>
    <w:rsid w:val="5DF66D9E"/>
    <w:rsid w:val="5E4E002D"/>
    <w:rsid w:val="5E51086F"/>
    <w:rsid w:val="5E661B27"/>
    <w:rsid w:val="5E7A5C21"/>
    <w:rsid w:val="5E7B7DA5"/>
    <w:rsid w:val="5E9743D8"/>
    <w:rsid w:val="5E9E3E06"/>
    <w:rsid w:val="5EA246E7"/>
    <w:rsid w:val="5EBF66D5"/>
    <w:rsid w:val="5ED864A3"/>
    <w:rsid w:val="5F041F5A"/>
    <w:rsid w:val="5F105C3D"/>
    <w:rsid w:val="5F2472F0"/>
    <w:rsid w:val="5F3714CE"/>
    <w:rsid w:val="5F3A1349"/>
    <w:rsid w:val="5F48187B"/>
    <w:rsid w:val="5F8421A1"/>
    <w:rsid w:val="5FC7593E"/>
    <w:rsid w:val="5FC82531"/>
    <w:rsid w:val="5FDC6467"/>
    <w:rsid w:val="5FE506D1"/>
    <w:rsid w:val="5FFA35CE"/>
    <w:rsid w:val="60091F45"/>
    <w:rsid w:val="605D5FA7"/>
    <w:rsid w:val="60981E5B"/>
    <w:rsid w:val="609821A3"/>
    <w:rsid w:val="60B5457F"/>
    <w:rsid w:val="60E750C3"/>
    <w:rsid w:val="60F63558"/>
    <w:rsid w:val="61120021"/>
    <w:rsid w:val="611A7247"/>
    <w:rsid w:val="61201622"/>
    <w:rsid w:val="6139505F"/>
    <w:rsid w:val="615D5386"/>
    <w:rsid w:val="61625438"/>
    <w:rsid w:val="61AE798F"/>
    <w:rsid w:val="61B71739"/>
    <w:rsid w:val="61D26F60"/>
    <w:rsid w:val="61D73D2E"/>
    <w:rsid w:val="61E769A0"/>
    <w:rsid w:val="61F667C5"/>
    <w:rsid w:val="62053734"/>
    <w:rsid w:val="621A46A2"/>
    <w:rsid w:val="62347E94"/>
    <w:rsid w:val="623762BC"/>
    <w:rsid w:val="62426A55"/>
    <w:rsid w:val="62516C98"/>
    <w:rsid w:val="625B5806"/>
    <w:rsid w:val="62966DA1"/>
    <w:rsid w:val="62A5047B"/>
    <w:rsid w:val="62B112F3"/>
    <w:rsid w:val="62C93A8C"/>
    <w:rsid w:val="62D34438"/>
    <w:rsid w:val="62DC0A60"/>
    <w:rsid w:val="62E8291D"/>
    <w:rsid w:val="63142FE9"/>
    <w:rsid w:val="6328593C"/>
    <w:rsid w:val="632D2297"/>
    <w:rsid w:val="632D3D4C"/>
    <w:rsid w:val="6341038D"/>
    <w:rsid w:val="63442359"/>
    <w:rsid w:val="635051A2"/>
    <w:rsid w:val="63530CD0"/>
    <w:rsid w:val="635D4E97"/>
    <w:rsid w:val="63751A48"/>
    <w:rsid w:val="637C7B09"/>
    <w:rsid w:val="63827FCD"/>
    <w:rsid w:val="63944015"/>
    <w:rsid w:val="63964029"/>
    <w:rsid w:val="63A63F3B"/>
    <w:rsid w:val="63EB6A46"/>
    <w:rsid w:val="63FE6454"/>
    <w:rsid w:val="640F0046"/>
    <w:rsid w:val="641A4D50"/>
    <w:rsid w:val="641A755E"/>
    <w:rsid w:val="644665A5"/>
    <w:rsid w:val="64797D72"/>
    <w:rsid w:val="647B7B54"/>
    <w:rsid w:val="647E5D3F"/>
    <w:rsid w:val="64AF414A"/>
    <w:rsid w:val="64B628F2"/>
    <w:rsid w:val="64BF6351"/>
    <w:rsid w:val="64CB5046"/>
    <w:rsid w:val="64CD637E"/>
    <w:rsid w:val="64E96A47"/>
    <w:rsid w:val="64EF63F8"/>
    <w:rsid w:val="650049A6"/>
    <w:rsid w:val="65371F46"/>
    <w:rsid w:val="654E3963"/>
    <w:rsid w:val="656027B9"/>
    <w:rsid w:val="65605444"/>
    <w:rsid w:val="656A735F"/>
    <w:rsid w:val="656C203B"/>
    <w:rsid w:val="65736F26"/>
    <w:rsid w:val="657D5FF6"/>
    <w:rsid w:val="6587477F"/>
    <w:rsid w:val="65923F18"/>
    <w:rsid w:val="65A215B9"/>
    <w:rsid w:val="65A408C7"/>
    <w:rsid w:val="65AD1388"/>
    <w:rsid w:val="65CB6D62"/>
    <w:rsid w:val="66214BD4"/>
    <w:rsid w:val="66251761"/>
    <w:rsid w:val="663B0366"/>
    <w:rsid w:val="663F1C44"/>
    <w:rsid w:val="664B4F8A"/>
    <w:rsid w:val="66561AA0"/>
    <w:rsid w:val="66707909"/>
    <w:rsid w:val="66787D45"/>
    <w:rsid w:val="667D0EA3"/>
    <w:rsid w:val="668F5FE1"/>
    <w:rsid w:val="66B41616"/>
    <w:rsid w:val="66BC2B4E"/>
    <w:rsid w:val="66E65AE8"/>
    <w:rsid w:val="670A35FB"/>
    <w:rsid w:val="6711359E"/>
    <w:rsid w:val="67186465"/>
    <w:rsid w:val="671D183F"/>
    <w:rsid w:val="67204E8B"/>
    <w:rsid w:val="67283D40"/>
    <w:rsid w:val="67335433"/>
    <w:rsid w:val="67371F1A"/>
    <w:rsid w:val="673E7602"/>
    <w:rsid w:val="67770FEE"/>
    <w:rsid w:val="677A27ED"/>
    <w:rsid w:val="678410CE"/>
    <w:rsid w:val="6787112D"/>
    <w:rsid w:val="6789494D"/>
    <w:rsid w:val="680B538A"/>
    <w:rsid w:val="680C5410"/>
    <w:rsid w:val="680E1188"/>
    <w:rsid w:val="68286C1F"/>
    <w:rsid w:val="68353276"/>
    <w:rsid w:val="683D162C"/>
    <w:rsid w:val="685C6397"/>
    <w:rsid w:val="68822776"/>
    <w:rsid w:val="68851CC2"/>
    <w:rsid w:val="688F4000"/>
    <w:rsid w:val="689B6EBF"/>
    <w:rsid w:val="68E12559"/>
    <w:rsid w:val="68F34CB6"/>
    <w:rsid w:val="68F930CE"/>
    <w:rsid w:val="68FC7232"/>
    <w:rsid w:val="6910451E"/>
    <w:rsid w:val="69371AD6"/>
    <w:rsid w:val="693E65BB"/>
    <w:rsid w:val="69624C57"/>
    <w:rsid w:val="696D1653"/>
    <w:rsid w:val="699E02E9"/>
    <w:rsid w:val="69A2398F"/>
    <w:rsid w:val="69AF24F6"/>
    <w:rsid w:val="69CE0BCF"/>
    <w:rsid w:val="69E20B1E"/>
    <w:rsid w:val="6A05003B"/>
    <w:rsid w:val="6A13398D"/>
    <w:rsid w:val="6A366774"/>
    <w:rsid w:val="6A6424F2"/>
    <w:rsid w:val="6A6A2BB1"/>
    <w:rsid w:val="6A6D488B"/>
    <w:rsid w:val="6A89576D"/>
    <w:rsid w:val="6AA83D2D"/>
    <w:rsid w:val="6AB8057A"/>
    <w:rsid w:val="6ABE129C"/>
    <w:rsid w:val="6AD42B62"/>
    <w:rsid w:val="6AEB5878"/>
    <w:rsid w:val="6B016D82"/>
    <w:rsid w:val="6B2B79E6"/>
    <w:rsid w:val="6B3453A9"/>
    <w:rsid w:val="6B4136AA"/>
    <w:rsid w:val="6B497FA4"/>
    <w:rsid w:val="6B517D09"/>
    <w:rsid w:val="6B5B562B"/>
    <w:rsid w:val="6B6A3579"/>
    <w:rsid w:val="6B704532"/>
    <w:rsid w:val="6B737ACD"/>
    <w:rsid w:val="6B767D11"/>
    <w:rsid w:val="6B7A14A4"/>
    <w:rsid w:val="6B8062AD"/>
    <w:rsid w:val="6B847246"/>
    <w:rsid w:val="6B9138F9"/>
    <w:rsid w:val="6B923E7E"/>
    <w:rsid w:val="6BCB6558"/>
    <w:rsid w:val="6BD46B1B"/>
    <w:rsid w:val="6BF165C6"/>
    <w:rsid w:val="6C046B2A"/>
    <w:rsid w:val="6C0A01E2"/>
    <w:rsid w:val="6C26038C"/>
    <w:rsid w:val="6C313697"/>
    <w:rsid w:val="6C8A5589"/>
    <w:rsid w:val="6C9205D9"/>
    <w:rsid w:val="6CAD5413"/>
    <w:rsid w:val="6CD40C54"/>
    <w:rsid w:val="6CDC5EC3"/>
    <w:rsid w:val="6CDC7AA6"/>
    <w:rsid w:val="6CE0110A"/>
    <w:rsid w:val="6CE94F03"/>
    <w:rsid w:val="6D1577B4"/>
    <w:rsid w:val="6D2A6C23"/>
    <w:rsid w:val="6D785A21"/>
    <w:rsid w:val="6D877A12"/>
    <w:rsid w:val="6DBF1D04"/>
    <w:rsid w:val="6DC94A59"/>
    <w:rsid w:val="6DCF3167"/>
    <w:rsid w:val="6DE704B1"/>
    <w:rsid w:val="6DF927BD"/>
    <w:rsid w:val="6E101AE4"/>
    <w:rsid w:val="6E13574A"/>
    <w:rsid w:val="6E1374F8"/>
    <w:rsid w:val="6E15118A"/>
    <w:rsid w:val="6E8A2144"/>
    <w:rsid w:val="6EA91835"/>
    <w:rsid w:val="6EB61077"/>
    <w:rsid w:val="6EC23D70"/>
    <w:rsid w:val="6EEB384D"/>
    <w:rsid w:val="6EFA2466"/>
    <w:rsid w:val="6F10748D"/>
    <w:rsid w:val="6F1C34AA"/>
    <w:rsid w:val="6F1C636F"/>
    <w:rsid w:val="6F316126"/>
    <w:rsid w:val="6F375468"/>
    <w:rsid w:val="6F6D041E"/>
    <w:rsid w:val="6F9D176F"/>
    <w:rsid w:val="6FA23B6D"/>
    <w:rsid w:val="6FE349DA"/>
    <w:rsid w:val="6FE40D68"/>
    <w:rsid w:val="6FFB6495"/>
    <w:rsid w:val="701912A5"/>
    <w:rsid w:val="701B2694"/>
    <w:rsid w:val="703B23DF"/>
    <w:rsid w:val="7040659E"/>
    <w:rsid w:val="705C33D8"/>
    <w:rsid w:val="70762334"/>
    <w:rsid w:val="70794F74"/>
    <w:rsid w:val="708D1292"/>
    <w:rsid w:val="709B0227"/>
    <w:rsid w:val="70AB7EBB"/>
    <w:rsid w:val="70B1214D"/>
    <w:rsid w:val="70BC5C25"/>
    <w:rsid w:val="70FE23F0"/>
    <w:rsid w:val="711517D9"/>
    <w:rsid w:val="71252F80"/>
    <w:rsid w:val="712649F0"/>
    <w:rsid w:val="71404133"/>
    <w:rsid w:val="71415581"/>
    <w:rsid w:val="71445E4D"/>
    <w:rsid w:val="714874B8"/>
    <w:rsid w:val="714F4CEB"/>
    <w:rsid w:val="716167CC"/>
    <w:rsid w:val="7179151D"/>
    <w:rsid w:val="719A4CA2"/>
    <w:rsid w:val="71AF03AF"/>
    <w:rsid w:val="71B95393"/>
    <w:rsid w:val="71C9215E"/>
    <w:rsid w:val="71E65CF2"/>
    <w:rsid w:val="71F00C04"/>
    <w:rsid w:val="71F86BA0"/>
    <w:rsid w:val="71FB277D"/>
    <w:rsid w:val="72085956"/>
    <w:rsid w:val="720B170C"/>
    <w:rsid w:val="72247F25"/>
    <w:rsid w:val="723914F7"/>
    <w:rsid w:val="724603B3"/>
    <w:rsid w:val="727E30F6"/>
    <w:rsid w:val="7289444D"/>
    <w:rsid w:val="72936E59"/>
    <w:rsid w:val="729735D4"/>
    <w:rsid w:val="72D003EF"/>
    <w:rsid w:val="72E72D01"/>
    <w:rsid w:val="72ED672C"/>
    <w:rsid w:val="72F94C05"/>
    <w:rsid w:val="73014035"/>
    <w:rsid w:val="73150118"/>
    <w:rsid w:val="73201B9F"/>
    <w:rsid w:val="7329156C"/>
    <w:rsid w:val="73683E42"/>
    <w:rsid w:val="736D31C0"/>
    <w:rsid w:val="73867C68"/>
    <w:rsid w:val="73AF1433"/>
    <w:rsid w:val="73B2133F"/>
    <w:rsid w:val="73B61051"/>
    <w:rsid w:val="73B938B2"/>
    <w:rsid w:val="73E65B07"/>
    <w:rsid w:val="73E72A46"/>
    <w:rsid w:val="73F45623"/>
    <w:rsid w:val="740C1085"/>
    <w:rsid w:val="7419513C"/>
    <w:rsid w:val="7420296E"/>
    <w:rsid w:val="742B3C86"/>
    <w:rsid w:val="744405FF"/>
    <w:rsid w:val="744523D5"/>
    <w:rsid w:val="74BB23FB"/>
    <w:rsid w:val="74D06143"/>
    <w:rsid w:val="74E27F48"/>
    <w:rsid w:val="751551CA"/>
    <w:rsid w:val="75204F0A"/>
    <w:rsid w:val="75243129"/>
    <w:rsid w:val="75413944"/>
    <w:rsid w:val="7542606F"/>
    <w:rsid w:val="75A21A9C"/>
    <w:rsid w:val="75AB270C"/>
    <w:rsid w:val="75AC348B"/>
    <w:rsid w:val="75B86262"/>
    <w:rsid w:val="75D70C69"/>
    <w:rsid w:val="762A53DF"/>
    <w:rsid w:val="76500149"/>
    <w:rsid w:val="76851934"/>
    <w:rsid w:val="76B70687"/>
    <w:rsid w:val="76D364DC"/>
    <w:rsid w:val="76E131F8"/>
    <w:rsid w:val="76E4495A"/>
    <w:rsid w:val="771A18F7"/>
    <w:rsid w:val="772558CB"/>
    <w:rsid w:val="77371DCB"/>
    <w:rsid w:val="774E733F"/>
    <w:rsid w:val="774F5184"/>
    <w:rsid w:val="77617528"/>
    <w:rsid w:val="77707AEA"/>
    <w:rsid w:val="778B2945"/>
    <w:rsid w:val="779A47E6"/>
    <w:rsid w:val="77B37088"/>
    <w:rsid w:val="77DB2A34"/>
    <w:rsid w:val="77DC3CB2"/>
    <w:rsid w:val="77E36B97"/>
    <w:rsid w:val="780A0000"/>
    <w:rsid w:val="780A371A"/>
    <w:rsid w:val="7838615E"/>
    <w:rsid w:val="785715FC"/>
    <w:rsid w:val="785B3F75"/>
    <w:rsid w:val="7864076B"/>
    <w:rsid w:val="78874D6A"/>
    <w:rsid w:val="788A03B6"/>
    <w:rsid w:val="789A4445"/>
    <w:rsid w:val="78CC302F"/>
    <w:rsid w:val="78CE519F"/>
    <w:rsid w:val="79050778"/>
    <w:rsid w:val="791E369D"/>
    <w:rsid w:val="7927654D"/>
    <w:rsid w:val="79307640"/>
    <w:rsid w:val="793D367B"/>
    <w:rsid w:val="79547E03"/>
    <w:rsid w:val="795E5322"/>
    <w:rsid w:val="79A74CC5"/>
    <w:rsid w:val="79B778D1"/>
    <w:rsid w:val="7A2111EE"/>
    <w:rsid w:val="7A3F5056"/>
    <w:rsid w:val="7A4A24F3"/>
    <w:rsid w:val="7A554D7B"/>
    <w:rsid w:val="7A567A6C"/>
    <w:rsid w:val="7A6B36A3"/>
    <w:rsid w:val="7A8846AC"/>
    <w:rsid w:val="7A8A0B42"/>
    <w:rsid w:val="7A8F43AA"/>
    <w:rsid w:val="7AB475A9"/>
    <w:rsid w:val="7ACC0CD4"/>
    <w:rsid w:val="7AD82879"/>
    <w:rsid w:val="7B2F5820"/>
    <w:rsid w:val="7B364F5B"/>
    <w:rsid w:val="7B3A1B60"/>
    <w:rsid w:val="7B4156BF"/>
    <w:rsid w:val="7B4B4DA3"/>
    <w:rsid w:val="7B4D0E37"/>
    <w:rsid w:val="7B5D6256"/>
    <w:rsid w:val="7B663457"/>
    <w:rsid w:val="7B7060E3"/>
    <w:rsid w:val="7B8C6B3B"/>
    <w:rsid w:val="7BA76E23"/>
    <w:rsid w:val="7BB340C8"/>
    <w:rsid w:val="7BD77DB7"/>
    <w:rsid w:val="7C300245"/>
    <w:rsid w:val="7C3050D8"/>
    <w:rsid w:val="7C325A9B"/>
    <w:rsid w:val="7C41288A"/>
    <w:rsid w:val="7C4A6F3C"/>
    <w:rsid w:val="7C4B4301"/>
    <w:rsid w:val="7C537F24"/>
    <w:rsid w:val="7C551902"/>
    <w:rsid w:val="7CAF2AE1"/>
    <w:rsid w:val="7CB63E70"/>
    <w:rsid w:val="7CEF7382"/>
    <w:rsid w:val="7D007610"/>
    <w:rsid w:val="7D0568C3"/>
    <w:rsid w:val="7D2D1D49"/>
    <w:rsid w:val="7D2F1E3E"/>
    <w:rsid w:val="7D3D00ED"/>
    <w:rsid w:val="7D55131B"/>
    <w:rsid w:val="7D652812"/>
    <w:rsid w:val="7D8B2276"/>
    <w:rsid w:val="7D8E227D"/>
    <w:rsid w:val="7DC75A6E"/>
    <w:rsid w:val="7DE1296D"/>
    <w:rsid w:val="7DE453DA"/>
    <w:rsid w:val="7DEC7879"/>
    <w:rsid w:val="7E01111B"/>
    <w:rsid w:val="7E0A0767"/>
    <w:rsid w:val="7E2929E7"/>
    <w:rsid w:val="7E3438B5"/>
    <w:rsid w:val="7E3F2866"/>
    <w:rsid w:val="7E490D14"/>
    <w:rsid w:val="7E6A0232"/>
    <w:rsid w:val="7E6F077A"/>
    <w:rsid w:val="7E89664F"/>
    <w:rsid w:val="7E936BF6"/>
    <w:rsid w:val="7E9B156F"/>
    <w:rsid w:val="7EB06C49"/>
    <w:rsid w:val="7EB838C2"/>
    <w:rsid w:val="7EBE0DBA"/>
    <w:rsid w:val="7EC45DE4"/>
    <w:rsid w:val="7EDE76AE"/>
    <w:rsid w:val="7EE2719E"/>
    <w:rsid w:val="7F037723"/>
    <w:rsid w:val="7F127AF1"/>
    <w:rsid w:val="7F251D71"/>
    <w:rsid w:val="7F363A2B"/>
    <w:rsid w:val="7F6364A4"/>
    <w:rsid w:val="7F7A4F45"/>
    <w:rsid w:val="7F7D0C75"/>
    <w:rsid w:val="7F810811"/>
    <w:rsid w:val="7F8B2110"/>
    <w:rsid w:val="7FA118A7"/>
    <w:rsid w:val="7FAB694F"/>
    <w:rsid w:val="7FB21BF7"/>
    <w:rsid w:val="7FD735E1"/>
    <w:rsid w:val="7FEC5B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99"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paragraph" w:styleId="3">
    <w:name w:val="heading 1"/>
    <w:basedOn w:val="1"/>
    <w:next w:val="1"/>
    <w:link w:val="52"/>
    <w:qFormat/>
    <w:uiPriority w:val="0"/>
    <w:pPr>
      <w:keepNext/>
      <w:tabs>
        <w:tab w:val="left" w:pos="200"/>
      </w:tabs>
      <w:jc w:val="center"/>
      <w:outlineLvl w:val="0"/>
    </w:pPr>
    <w:rPr>
      <w:rFonts w:hint="eastAsia" w:ascii="宋体" w:hAnsi="宋体"/>
      <w:b/>
      <w:sz w:val="36"/>
    </w:rPr>
  </w:style>
  <w:style w:type="paragraph" w:styleId="4">
    <w:name w:val="heading 2"/>
    <w:basedOn w:val="1"/>
    <w:next w:val="5"/>
    <w:link w:val="55"/>
    <w:unhideWhenUsed/>
    <w:qFormat/>
    <w:uiPriority w:val="9"/>
    <w:pPr>
      <w:keepNext/>
      <w:keepLines/>
      <w:spacing w:before="260" w:after="260" w:line="416" w:lineRule="auto"/>
      <w:outlineLvl w:val="1"/>
    </w:pPr>
    <w:rPr>
      <w:rFonts w:asciiTheme="majorHAnsi" w:hAnsiTheme="majorHAnsi" w:eastAsiaTheme="majorEastAsia" w:cstheme="majorBidi"/>
      <w:bCs/>
      <w:szCs w:val="32"/>
    </w:rPr>
  </w:style>
  <w:style w:type="paragraph" w:styleId="7">
    <w:name w:val="heading 3"/>
    <w:basedOn w:val="1"/>
    <w:next w:val="1"/>
    <w:link w:val="47"/>
    <w:qFormat/>
    <w:uiPriority w:val="0"/>
    <w:pPr>
      <w:keepNext/>
      <w:keepLines/>
      <w:spacing w:before="260" w:after="260" w:line="416" w:lineRule="auto"/>
      <w:outlineLvl w:val="2"/>
    </w:pPr>
    <w:rPr>
      <w:b/>
      <w:bCs/>
      <w:sz w:val="32"/>
      <w:szCs w:val="32"/>
    </w:rPr>
  </w:style>
  <w:style w:type="paragraph" w:styleId="8">
    <w:name w:val="heading 4"/>
    <w:basedOn w:val="1"/>
    <w:next w:val="1"/>
    <w:link w:val="56"/>
    <w:semiHidden/>
    <w:unhideWhenUsed/>
    <w:qFormat/>
    <w:uiPriority w:val="0"/>
    <w:pPr>
      <w:keepNext/>
      <w:keepLines/>
      <w:spacing w:before="280" w:after="290" w:line="372" w:lineRule="auto"/>
      <w:outlineLvl w:val="3"/>
    </w:pPr>
    <w:rPr>
      <w:rFonts w:ascii="Arial" w:hAnsi="Arial" w:eastAsia="黑体"/>
      <w:b/>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99"/>
    <w:pPr>
      <w:ind w:firstLine="480"/>
    </w:pPr>
    <w:rPr>
      <w:lang w:val="zh-CN"/>
    </w:rPr>
  </w:style>
  <w:style w:type="paragraph" w:customStyle="1" w:styleId="5">
    <w:name w:val="Í¼¡À¡§ªÕýÎÄ"/>
    <w:basedOn w:val="1"/>
    <w:next w:val="6"/>
    <w:qFormat/>
    <w:uiPriority w:val="99"/>
    <w:pPr>
      <w:ind w:firstLine="420" w:firstLineChars="200"/>
    </w:pPr>
    <w:rPr>
      <w:sz w:val="24"/>
      <w:szCs w:val="20"/>
    </w:rPr>
  </w:style>
  <w:style w:type="paragraph" w:styleId="6">
    <w:name w:val="Normal Indent"/>
    <w:basedOn w:val="1"/>
    <w:link w:val="75"/>
    <w:qFormat/>
    <w:uiPriority w:val="0"/>
    <w:pPr>
      <w:adjustRightInd w:val="0"/>
      <w:snapToGrid w:val="0"/>
      <w:spacing w:line="360" w:lineRule="auto"/>
      <w:ind w:firstLine="420"/>
    </w:pPr>
    <w:rPr>
      <w:rFonts w:asciiTheme="minorHAnsi" w:hAnsiTheme="minorHAnsi" w:eastAsiaTheme="minorEastAsia" w:cstheme="minorBidi"/>
      <w:sz w:val="24"/>
      <w:szCs w:val="22"/>
    </w:rPr>
  </w:style>
  <w:style w:type="paragraph" w:styleId="9">
    <w:name w:val="table of authorities"/>
    <w:basedOn w:val="1"/>
    <w:next w:val="1"/>
    <w:unhideWhenUsed/>
    <w:qFormat/>
    <w:uiPriority w:val="99"/>
    <w:pPr>
      <w:ind w:left="420" w:leftChars="200"/>
    </w:pPr>
  </w:style>
  <w:style w:type="paragraph" w:styleId="10">
    <w:name w:val="index 5"/>
    <w:basedOn w:val="1"/>
    <w:next w:val="1"/>
    <w:qFormat/>
    <w:uiPriority w:val="0"/>
    <w:pPr>
      <w:ind w:left="1680"/>
    </w:pPr>
    <w:rPr>
      <w:sz w:val="24"/>
    </w:rPr>
  </w:style>
  <w:style w:type="paragraph" w:styleId="11">
    <w:name w:val="annotation text"/>
    <w:basedOn w:val="1"/>
    <w:link w:val="58"/>
    <w:qFormat/>
    <w:uiPriority w:val="0"/>
    <w:pPr>
      <w:jc w:val="left"/>
    </w:pPr>
  </w:style>
  <w:style w:type="paragraph" w:styleId="12">
    <w:name w:val="Body Text"/>
    <w:basedOn w:val="1"/>
    <w:next w:val="13"/>
    <w:link w:val="49"/>
    <w:qFormat/>
    <w:uiPriority w:val="0"/>
    <w:rPr>
      <w:rFonts w:hint="eastAsia" w:ascii="楷体_GB2312" w:hAnsi="Arial" w:eastAsia="楷体_GB2312"/>
    </w:rPr>
  </w:style>
  <w:style w:type="paragraph" w:styleId="13">
    <w:name w:val="Body Text First Indent"/>
    <w:basedOn w:val="12"/>
    <w:next w:val="14"/>
    <w:qFormat/>
    <w:uiPriority w:val="99"/>
    <w:pPr>
      <w:ind w:firstLine="420"/>
    </w:pPr>
  </w:style>
  <w:style w:type="paragraph" w:styleId="14">
    <w:name w:val="toc 6"/>
    <w:basedOn w:val="1"/>
    <w:next w:val="1"/>
    <w:qFormat/>
    <w:uiPriority w:val="99"/>
    <w:pPr>
      <w:adjustRightInd w:val="0"/>
      <w:spacing w:line="312" w:lineRule="atLeast"/>
      <w:ind w:left="1050"/>
      <w:jc w:val="left"/>
      <w:textAlignment w:val="baseline"/>
    </w:pPr>
    <w:rPr>
      <w:kern w:val="0"/>
      <w:sz w:val="18"/>
      <w:szCs w:val="18"/>
    </w:rPr>
  </w:style>
  <w:style w:type="paragraph" w:styleId="15">
    <w:name w:val="Body Text Indent"/>
    <w:basedOn w:val="1"/>
    <w:link w:val="53"/>
    <w:qFormat/>
    <w:uiPriority w:val="0"/>
    <w:pPr>
      <w:spacing w:after="120"/>
      <w:ind w:left="420" w:leftChars="200"/>
    </w:pPr>
  </w:style>
  <w:style w:type="paragraph" w:styleId="16">
    <w:name w:val="Plain Text"/>
    <w:basedOn w:val="1"/>
    <w:next w:val="6"/>
    <w:link w:val="46"/>
    <w:qFormat/>
    <w:uiPriority w:val="0"/>
    <w:rPr>
      <w:rFonts w:hint="eastAsia" w:ascii="宋体" w:hAnsi="Courier New"/>
      <w:kern w:val="0"/>
      <w:sz w:val="20"/>
    </w:rPr>
  </w:style>
  <w:style w:type="paragraph" w:styleId="17">
    <w:name w:val="Date"/>
    <w:basedOn w:val="1"/>
    <w:next w:val="1"/>
    <w:link w:val="54"/>
    <w:qFormat/>
    <w:uiPriority w:val="0"/>
    <w:pPr>
      <w:ind w:left="100" w:leftChars="2500"/>
    </w:pPr>
  </w:style>
  <w:style w:type="paragraph" w:styleId="18">
    <w:name w:val="Body Text Indent 2"/>
    <w:basedOn w:val="1"/>
    <w:link w:val="60"/>
    <w:qFormat/>
    <w:uiPriority w:val="0"/>
    <w:pPr>
      <w:spacing w:after="120" w:line="480" w:lineRule="auto"/>
      <w:ind w:left="420" w:leftChars="200"/>
    </w:pPr>
  </w:style>
  <w:style w:type="paragraph" w:styleId="19">
    <w:name w:val="Balloon Text"/>
    <w:basedOn w:val="1"/>
    <w:link w:val="67"/>
    <w:qFormat/>
    <w:uiPriority w:val="0"/>
    <w:rPr>
      <w:sz w:val="18"/>
      <w:szCs w:val="18"/>
    </w:rPr>
  </w:style>
  <w:style w:type="paragraph" w:styleId="20">
    <w:name w:val="footer"/>
    <w:basedOn w:val="1"/>
    <w:link w:val="51"/>
    <w:unhideWhenUsed/>
    <w:qFormat/>
    <w:uiPriority w:val="0"/>
    <w:pPr>
      <w:tabs>
        <w:tab w:val="center" w:pos="4153"/>
        <w:tab w:val="right" w:pos="8306"/>
      </w:tabs>
      <w:snapToGrid w:val="0"/>
      <w:spacing w:line="240" w:lineRule="atLeast"/>
      <w:jc w:val="left"/>
    </w:pPr>
    <w:rPr>
      <w:sz w:val="18"/>
      <w:szCs w:val="18"/>
    </w:rPr>
  </w:style>
  <w:style w:type="paragraph" w:styleId="21">
    <w:name w:val="header"/>
    <w:basedOn w:val="1"/>
    <w:link w:val="50"/>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22">
    <w:name w:val="Subtitle"/>
    <w:basedOn w:val="1"/>
    <w:next w:val="1"/>
    <w:qFormat/>
    <w:uiPriority w:val="0"/>
    <w:pPr>
      <w:spacing w:before="240" w:after="60" w:line="312" w:lineRule="auto"/>
      <w:jc w:val="center"/>
      <w:outlineLvl w:val="1"/>
    </w:pPr>
    <w:rPr>
      <w:rFonts w:ascii="等线 Light" w:hAnsi="等线 Light"/>
      <w:b/>
      <w:bCs/>
      <w:kern w:val="28"/>
      <w:sz w:val="32"/>
      <w:szCs w:val="32"/>
      <w:lang w:val="zh-CN"/>
    </w:rPr>
  </w:style>
  <w:style w:type="paragraph" w:styleId="23">
    <w:name w:val="footnote text"/>
    <w:basedOn w:val="1"/>
    <w:next w:val="10"/>
    <w:qFormat/>
    <w:uiPriority w:val="0"/>
    <w:pPr>
      <w:snapToGrid w:val="0"/>
      <w:jc w:val="left"/>
    </w:pPr>
    <w:rPr>
      <w:sz w:val="18"/>
    </w:rPr>
  </w:style>
  <w:style w:type="paragraph" w:styleId="24">
    <w:name w:val="Normal (Web)"/>
    <w:basedOn w:val="1"/>
    <w:qFormat/>
    <w:uiPriority w:val="0"/>
    <w:pPr>
      <w:widowControl/>
      <w:spacing w:before="100" w:beforeAutospacing="1" w:after="100" w:afterAutospacing="1"/>
      <w:jc w:val="left"/>
    </w:pPr>
    <w:rPr>
      <w:rFonts w:ascii="Arial Unicode MS" w:hAnsi="Arial Unicode MS" w:eastAsia="Arial Unicode MS" w:cstheme="minorBidi"/>
      <w:sz w:val="24"/>
      <w:szCs w:val="22"/>
    </w:rPr>
  </w:style>
  <w:style w:type="paragraph" w:styleId="25">
    <w:name w:val="Title"/>
    <w:basedOn w:val="1"/>
    <w:next w:val="1"/>
    <w:link w:val="59"/>
    <w:qFormat/>
    <w:uiPriority w:val="0"/>
    <w:pPr>
      <w:adjustRightInd w:val="0"/>
      <w:spacing w:before="240" w:after="60" w:line="288" w:lineRule="auto"/>
      <w:ind w:firstLine="420"/>
      <w:jc w:val="center"/>
      <w:textAlignment w:val="baseline"/>
      <w:outlineLvl w:val="0"/>
    </w:pPr>
    <w:rPr>
      <w:rFonts w:ascii="Arial" w:hAnsi="Arial"/>
      <w:b/>
      <w:sz w:val="32"/>
      <w:szCs w:val="22"/>
    </w:rPr>
  </w:style>
  <w:style w:type="paragraph" w:styleId="26">
    <w:name w:val="Body Text First Indent 2"/>
    <w:basedOn w:val="1"/>
    <w:next w:val="1"/>
    <w:unhideWhenUsed/>
    <w:qFormat/>
    <w:uiPriority w:val="99"/>
    <w:pPr>
      <w:ind w:firstLine="420" w:firstLineChars="200"/>
    </w:pPr>
  </w:style>
  <w:style w:type="table" w:styleId="28">
    <w:name w:val="Table Grid"/>
    <w:basedOn w:val="2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styleId="30">
    <w:name w:val="Strong"/>
    <w:basedOn w:val="29"/>
    <w:qFormat/>
    <w:uiPriority w:val="0"/>
    <w:rPr>
      <w:b/>
      <w:sz w:val="24"/>
      <w:szCs w:val="24"/>
    </w:rPr>
  </w:style>
  <w:style w:type="character" w:styleId="31">
    <w:name w:val="page number"/>
    <w:basedOn w:val="29"/>
    <w:qFormat/>
    <w:uiPriority w:val="99"/>
    <w:rPr>
      <w:rFonts w:ascii="Times New Roman" w:hAnsi="Times New Roman" w:eastAsia="宋体" w:cs="Times New Roman"/>
    </w:rPr>
  </w:style>
  <w:style w:type="character" w:styleId="32">
    <w:name w:val="FollowedHyperlink"/>
    <w:basedOn w:val="29"/>
    <w:qFormat/>
    <w:uiPriority w:val="0"/>
    <w:rPr>
      <w:color w:val="333333"/>
      <w:u w:val="none"/>
    </w:rPr>
  </w:style>
  <w:style w:type="character" w:styleId="33">
    <w:name w:val="Emphasis"/>
    <w:basedOn w:val="29"/>
    <w:qFormat/>
    <w:uiPriority w:val="0"/>
    <w:rPr>
      <w:color w:val="CC0000"/>
      <w:sz w:val="24"/>
      <w:szCs w:val="24"/>
    </w:rPr>
  </w:style>
  <w:style w:type="character" w:styleId="34">
    <w:name w:val="HTML Definition"/>
    <w:basedOn w:val="29"/>
    <w:qFormat/>
    <w:uiPriority w:val="0"/>
  </w:style>
  <w:style w:type="character" w:styleId="35">
    <w:name w:val="HTML Typewriter"/>
    <w:basedOn w:val="29"/>
    <w:qFormat/>
    <w:uiPriority w:val="0"/>
    <w:rPr>
      <w:rFonts w:hint="default" w:ascii="monospace" w:hAnsi="monospace" w:eastAsia="monospace" w:cs="monospace"/>
      <w:sz w:val="20"/>
    </w:rPr>
  </w:style>
  <w:style w:type="character" w:styleId="36">
    <w:name w:val="HTML Acronym"/>
    <w:basedOn w:val="29"/>
    <w:qFormat/>
    <w:uiPriority w:val="0"/>
  </w:style>
  <w:style w:type="character" w:styleId="37">
    <w:name w:val="HTML Variable"/>
    <w:basedOn w:val="29"/>
    <w:qFormat/>
    <w:uiPriority w:val="0"/>
  </w:style>
  <w:style w:type="character" w:styleId="38">
    <w:name w:val="Hyperlink"/>
    <w:basedOn w:val="29"/>
    <w:qFormat/>
    <w:uiPriority w:val="0"/>
    <w:rPr>
      <w:color w:val="333333"/>
      <w:u w:val="none"/>
    </w:rPr>
  </w:style>
  <w:style w:type="character" w:styleId="39">
    <w:name w:val="HTML Code"/>
    <w:basedOn w:val="29"/>
    <w:qFormat/>
    <w:uiPriority w:val="0"/>
    <w:rPr>
      <w:rFonts w:ascii="monospace" w:hAnsi="monospace" w:eastAsia="monospace" w:cs="monospace"/>
      <w:sz w:val="20"/>
    </w:rPr>
  </w:style>
  <w:style w:type="character" w:styleId="40">
    <w:name w:val="HTML Cite"/>
    <w:basedOn w:val="29"/>
    <w:qFormat/>
    <w:uiPriority w:val="0"/>
    <w:rPr>
      <w:sz w:val="24"/>
      <w:szCs w:val="24"/>
    </w:rPr>
  </w:style>
  <w:style w:type="character" w:styleId="41">
    <w:name w:val="HTML Keyboard"/>
    <w:basedOn w:val="29"/>
    <w:qFormat/>
    <w:uiPriority w:val="0"/>
    <w:rPr>
      <w:rFonts w:hint="default" w:ascii="monospace" w:hAnsi="monospace" w:eastAsia="monospace" w:cs="monospace"/>
      <w:sz w:val="20"/>
    </w:rPr>
  </w:style>
  <w:style w:type="character" w:styleId="42">
    <w:name w:val="HTML Sample"/>
    <w:basedOn w:val="29"/>
    <w:qFormat/>
    <w:uiPriority w:val="0"/>
    <w:rPr>
      <w:rFonts w:hint="default" w:ascii="monospace" w:hAnsi="monospace" w:eastAsia="monospace" w:cs="monospace"/>
    </w:rPr>
  </w:style>
  <w:style w:type="paragraph" w:customStyle="1" w:styleId="43">
    <w:name w:val="样式 标题 1 + 宋体 居中 段前: 17 磅 段后: 16.5 磅"/>
    <w:basedOn w:val="3"/>
    <w:qFormat/>
    <w:uiPriority w:val="0"/>
    <w:pPr>
      <w:pageBreakBefore/>
      <w:widowControl/>
      <w:tabs>
        <w:tab w:val="left" w:pos="840"/>
        <w:tab w:val="clear" w:pos="200"/>
      </w:tabs>
      <w:snapToGrid w:val="0"/>
      <w:ind w:left="840" w:hanging="420"/>
    </w:pPr>
    <w:rPr>
      <w:rFonts w:ascii="华文中宋" w:hAnsi="华文中宋" w:eastAsia="华文中宋" w:cs="宋体"/>
      <w:sz w:val="28"/>
    </w:rPr>
  </w:style>
  <w:style w:type="paragraph" w:customStyle="1" w:styleId="44">
    <w:name w:val="Í¼±íÕýÎÄ"/>
    <w:basedOn w:val="1"/>
    <w:next w:val="6"/>
    <w:qFormat/>
    <w:uiPriority w:val="0"/>
    <w:pPr>
      <w:ind w:firstLine="420" w:firstLineChars="200"/>
    </w:pPr>
    <w:rPr>
      <w:sz w:val="24"/>
    </w:rPr>
  </w:style>
  <w:style w:type="paragraph" w:customStyle="1" w:styleId="45">
    <w:name w:val="正文字缩2字"/>
    <w:basedOn w:val="1"/>
    <w:qFormat/>
    <w:uiPriority w:val="0"/>
    <w:pPr>
      <w:spacing w:before="60" w:after="60" w:line="360" w:lineRule="auto"/>
      <w:ind w:left="200" w:leftChars="200" w:firstLine="200" w:firstLineChars="200"/>
    </w:pPr>
    <w:rPr>
      <w:rFonts w:ascii="Calibri" w:hAnsi="Calibri"/>
      <w:sz w:val="21"/>
      <w:szCs w:val="24"/>
    </w:rPr>
  </w:style>
  <w:style w:type="character" w:customStyle="1" w:styleId="46">
    <w:name w:val="纯文本 字符"/>
    <w:basedOn w:val="29"/>
    <w:link w:val="16"/>
    <w:qFormat/>
    <w:uiPriority w:val="0"/>
    <w:rPr>
      <w:rFonts w:hint="eastAsia" w:ascii="宋体" w:hAnsi="Courier New" w:eastAsia="宋体" w:cs="宋体"/>
    </w:rPr>
  </w:style>
  <w:style w:type="character" w:customStyle="1" w:styleId="47">
    <w:name w:val="标题 3 字符"/>
    <w:basedOn w:val="29"/>
    <w:link w:val="7"/>
    <w:qFormat/>
    <w:uiPriority w:val="0"/>
    <w:rPr>
      <w:rFonts w:hint="default" w:ascii="Calibri" w:hAnsi="Calibri" w:cs="Calibri"/>
      <w:b/>
      <w:kern w:val="2"/>
      <w:sz w:val="32"/>
      <w:szCs w:val="32"/>
    </w:rPr>
  </w:style>
  <w:style w:type="paragraph" w:customStyle="1" w:styleId="48">
    <w:name w:val="列出段落1"/>
    <w:basedOn w:val="1"/>
    <w:qFormat/>
    <w:uiPriority w:val="0"/>
    <w:pPr>
      <w:ind w:firstLine="420" w:firstLineChars="200"/>
    </w:pPr>
    <w:rPr>
      <w:rFonts w:ascii="Calibri" w:hAnsi="Calibri"/>
      <w:color w:val="595959"/>
      <w:sz w:val="21"/>
      <w:szCs w:val="24"/>
    </w:rPr>
  </w:style>
  <w:style w:type="character" w:customStyle="1" w:styleId="49">
    <w:name w:val="正文文本 字符"/>
    <w:basedOn w:val="29"/>
    <w:link w:val="12"/>
    <w:qFormat/>
    <w:uiPriority w:val="0"/>
    <w:rPr>
      <w:rFonts w:hint="eastAsia" w:ascii="楷体_GB2312" w:hAnsi="Arial" w:eastAsia="楷体_GB2312" w:cs="楷体_GB2312"/>
      <w:kern w:val="2"/>
      <w:sz w:val="28"/>
    </w:rPr>
  </w:style>
  <w:style w:type="character" w:customStyle="1" w:styleId="50">
    <w:name w:val="页眉 字符"/>
    <w:basedOn w:val="29"/>
    <w:link w:val="21"/>
    <w:qFormat/>
    <w:uiPriority w:val="0"/>
    <w:rPr>
      <w:kern w:val="2"/>
      <w:sz w:val="18"/>
    </w:rPr>
  </w:style>
  <w:style w:type="character" w:customStyle="1" w:styleId="51">
    <w:name w:val="页脚 字符"/>
    <w:basedOn w:val="29"/>
    <w:link w:val="20"/>
    <w:qFormat/>
    <w:uiPriority w:val="0"/>
    <w:rPr>
      <w:kern w:val="2"/>
      <w:sz w:val="18"/>
    </w:rPr>
  </w:style>
  <w:style w:type="character" w:customStyle="1" w:styleId="52">
    <w:name w:val="标题 1 字符"/>
    <w:basedOn w:val="29"/>
    <w:link w:val="3"/>
    <w:qFormat/>
    <w:uiPriority w:val="0"/>
    <w:rPr>
      <w:rFonts w:hint="eastAsia" w:ascii="宋体" w:hAnsi="宋体" w:eastAsia="宋体" w:cs="宋体"/>
      <w:b/>
      <w:kern w:val="2"/>
      <w:sz w:val="36"/>
    </w:rPr>
  </w:style>
  <w:style w:type="character" w:customStyle="1" w:styleId="53">
    <w:name w:val="正文文本缩进 字符"/>
    <w:basedOn w:val="29"/>
    <w:link w:val="15"/>
    <w:qFormat/>
    <w:uiPriority w:val="0"/>
    <w:rPr>
      <w:rFonts w:hint="eastAsia" w:ascii="仿宋_GB2312" w:hAnsi="Arial" w:eastAsia="仿宋_GB2312" w:cs="仿宋_GB2312"/>
      <w:sz w:val="32"/>
      <w:szCs w:val="32"/>
    </w:rPr>
  </w:style>
  <w:style w:type="character" w:customStyle="1" w:styleId="54">
    <w:name w:val="日期 字符"/>
    <w:basedOn w:val="29"/>
    <w:link w:val="17"/>
    <w:qFormat/>
    <w:uiPriority w:val="0"/>
    <w:rPr>
      <w:kern w:val="2"/>
      <w:sz w:val="21"/>
    </w:rPr>
  </w:style>
  <w:style w:type="character" w:customStyle="1" w:styleId="55">
    <w:name w:val="标题 2 字符"/>
    <w:basedOn w:val="29"/>
    <w:link w:val="4"/>
    <w:qFormat/>
    <w:uiPriority w:val="0"/>
    <w:rPr>
      <w:rFonts w:hint="eastAsia" w:ascii="楷体_GB2312" w:eastAsia="楷体_GB2312" w:cs="楷体_GB2312"/>
      <w:b/>
      <w:kern w:val="2"/>
      <w:sz w:val="28"/>
      <w:szCs w:val="28"/>
    </w:rPr>
  </w:style>
  <w:style w:type="character" w:customStyle="1" w:styleId="56">
    <w:name w:val="标题 4 字符"/>
    <w:basedOn w:val="29"/>
    <w:link w:val="8"/>
    <w:qFormat/>
    <w:uiPriority w:val="0"/>
    <w:rPr>
      <w:rFonts w:hint="default" w:ascii="Cambria" w:hAnsi="Cambria" w:eastAsia="Cambria" w:cs="Cambria"/>
      <w:b/>
      <w:kern w:val="2"/>
      <w:sz w:val="28"/>
      <w:szCs w:val="28"/>
      <w:lang w:val="zh-CN"/>
    </w:rPr>
  </w:style>
  <w:style w:type="character" w:customStyle="1" w:styleId="57">
    <w:name w:val="font71"/>
    <w:basedOn w:val="29"/>
    <w:qFormat/>
    <w:uiPriority w:val="0"/>
    <w:rPr>
      <w:rFonts w:hint="eastAsia" w:ascii="宋体" w:hAnsi="宋体" w:eastAsia="宋体" w:cs="宋体"/>
      <w:color w:val="000000"/>
      <w:sz w:val="22"/>
      <w:szCs w:val="22"/>
      <w:u w:val="none"/>
    </w:rPr>
  </w:style>
  <w:style w:type="character" w:customStyle="1" w:styleId="58">
    <w:name w:val="批注文字 字符"/>
    <w:basedOn w:val="29"/>
    <w:link w:val="11"/>
    <w:qFormat/>
    <w:uiPriority w:val="0"/>
    <w:rPr>
      <w:rFonts w:hint="default" w:ascii="Calibri" w:hAnsi="Calibri" w:eastAsia="PMingLiU" w:cs="Calibri"/>
      <w:sz w:val="24"/>
      <w:lang w:eastAsia="zh-TW"/>
    </w:rPr>
  </w:style>
  <w:style w:type="character" w:customStyle="1" w:styleId="59">
    <w:name w:val="标题 字符"/>
    <w:basedOn w:val="29"/>
    <w:link w:val="25"/>
    <w:qFormat/>
    <w:uiPriority w:val="0"/>
    <w:rPr>
      <w:rFonts w:hint="default" w:ascii="Cambria" w:hAnsi="Cambria" w:eastAsia="Cambria" w:cs="Cambria"/>
      <w:b/>
      <w:kern w:val="2"/>
      <w:sz w:val="32"/>
      <w:szCs w:val="32"/>
    </w:rPr>
  </w:style>
  <w:style w:type="character" w:customStyle="1" w:styleId="60">
    <w:name w:val="正文文本缩进 2 字符"/>
    <w:basedOn w:val="29"/>
    <w:link w:val="18"/>
    <w:qFormat/>
    <w:uiPriority w:val="0"/>
    <w:rPr>
      <w:rFonts w:hint="eastAsia" w:ascii="宋体" w:hAnsi="宋体" w:eastAsia="宋体" w:cs="宋体"/>
      <w:kern w:val="2"/>
      <w:sz w:val="24"/>
      <w:szCs w:val="24"/>
    </w:rPr>
  </w:style>
  <w:style w:type="table" w:customStyle="1" w:styleId="61">
    <w:name w:val="网格型1"/>
    <w:basedOn w:val="2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paragraph" w:customStyle="1" w:styleId="62">
    <w:name w:val="_Style 1"/>
    <w:basedOn w:val="1"/>
    <w:qFormat/>
    <w:uiPriority w:val="0"/>
    <w:pPr>
      <w:ind w:firstLine="420" w:firstLineChars="200"/>
    </w:pPr>
    <w:rPr>
      <w:kern w:val="0"/>
      <w:sz w:val="20"/>
    </w:rPr>
  </w:style>
  <w:style w:type="paragraph" w:styleId="63">
    <w:name w:val="List Paragraph"/>
    <w:basedOn w:val="1"/>
    <w:qFormat/>
    <w:uiPriority w:val="1"/>
    <w:pPr>
      <w:ind w:left="362" w:firstLine="480"/>
    </w:pPr>
    <w:rPr>
      <w:rFonts w:ascii="宋体" w:hAnsi="宋体" w:cs="宋体"/>
      <w:lang w:val="zh-CN" w:bidi="zh-CN"/>
    </w:rPr>
  </w:style>
  <w:style w:type="paragraph" w:customStyle="1" w:styleId="64">
    <w:name w:val="Table Paragraph"/>
    <w:basedOn w:val="1"/>
    <w:qFormat/>
    <w:uiPriority w:val="1"/>
    <w:rPr>
      <w:rFonts w:ascii="宋体" w:hAnsi="宋体" w:cs="宋体"/>
      <w:lang w:val="zh-CN" w:bidi="zh-CN"/>
    </w:rPr>
  </w:style>
  <w:style w:type="paragraph" w:customStyle="1" w:styleId="65">
    <w:name w:val="样式 宋体 五号 行距: 单倍行距"/>
    <w:basedOn w:val="1"/>
    <w:qFormat/>
    <w:uiPriority w:val="0"/>
    <w:rPr>
      <w:rFonts w:ascii="宋体" w:hAnsi="宋体" w:cs="宋体"/>
      <w:sz w:val="21"/>
    </w:rPr>
  </w:style>
  <w:style w:type="paragraph" w:customStyle="1" w:styleId="66">
    <w:name w:val="纯文本2"/>
    <w:basedOn w:val="1"/>
    <w:qFormat/>
    <w:uiPriority w:val="99"/>
    <w:pPr>
      <w:widowControl/>
      <w:adjustRightInd w:val="0"/>
      <w:jc w:val="left"/>
      <w:textAlignment w:val="baseline"/>
    </w:pPr>
    <w:rPr>
      <w:rFonts w:ascii="宋体" w:hAnsi="Courier New" w:eastAsia="楷体_GB2312"/>
      <w:kern w:val="0"/>
      <w:sz w:val="26"/>
    </w:rPr>
  </w:style>
  <w:style w:type="character" w:customStyle="1" w:styleId="67">
    <w:name w:val="批注框文本 字符"/>
    <w:basedOn w:val="29"/>
    <w:link w:val="19"/>
    <w:qFormat/>
    <w:uiPriority w:val="0"/>
    <w:rPr>
      <w:rFonts w:ascii="Times New Roman" w:hAnsi="Times New Roman"/>
      <w:kern w:val="2"/>
      <w:sz w:val="18"/>
      <w:szCs w:val="18"/>
    </w:rPr>
  </w:style>
  <w:style w:type="paragraph" w:customStyle="1" w:styleId="68">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69">
    <w:name w:val="Body text|1"/>
    <w:basedOn w:val="1"/>
    <w:qFormat/>
    <w:uiPriority w:val="0"/>
    <w:pPr>
      <w:spacing w:after="80" w:line="269" w:lineRule="auto"/>
      <w:ind w:firstLine="300"/>
    </w:pPr>
    <w:rPr>
      <w:rFonts w:ascii="MingLiU" w:hAnsi="MingLiU" w:eastAsia="MingLiU" w:cs="MingLiU"/>
      <w:sz w:val="20"/>
      <w:lang w:val="zh-TW" w:eastAsia="zh-TW" w:bidi="zh-TW"/>
    </w:rPr>
  </w:style>
  <w:style w:type="paragraph" w:customStyle="1" w:styleId="70">
    <w:name w:val="纯文本1"/>
    <w:basedOn w:val="1"/>
    <w:qFormat/>
    <w:uiPriority w:val="0"/>
    <w:pPr>
      <w:adjustRightInd w:val="0"/>
      <w:textAlignment w:val="baseline"/>
    </w:pPr>
    <w:rPr>
      <w:rFonts w:ascii="宋体" w:hAnsi="Courier New" w:eastAsia="楷体_GB2312"/>
    </w:rPr>
  </w:style>
  <w:style w:type="character" w:customStyle="1" w:styleId="71">
    <w:name w:val="font01"/>
    <w:basedOn w:val="29"/>
    <w:qFormat/>
    <w:uiPriority w:val="0"/>
    <w:rPr>
      <w:rFonts w:ascii="Arial" w:hAnsi="Arial" w:cs="Arial"/>
      <w:color w:val="000000"/>
      <w:sz w:val="20"/>
      <w:szCs w:val="20"/>
      <w:u w:val="none"/>
    </w:rPr>
  </w:style>
  <w:style w:type="character" w:customStyle="1" w:styleId="72">
    <w:name w:val="font11"/>
    <w:basedOn w:val="29"/>
    <w:qFormat/>
    <w:uiPriority w:val="0"/>
    <w:rPr>
      <w:rFonts w:hint="eastAsia" w:ascii="宋体" w:hAnsi="宋体" w:eastAsia="宋体" w:cs="宋体"/>
      <w:color w:val="000000"/>
      <w:sz w:val="22"/>
      <w:szCs w:val="22"/>
      <w:u w:val="none"/>
    </w:rPr>
  </w:style>
  <w:style w:type="character" w:customStyle="1" w:styleId="73">
    <w:name w:val="font51"/>
    <w:basedOn w:val="29"/>
    <w:qFormat/>
    <w:uiPriority w:val="0"/>
    <w:rPr>
      <w:rFonts w:hint="eastAsia" w:ascii="宋体" w:hAnsi="宋体" w:eastAsia="宋体" w:cs="宋体"/>
      <w:color w:val="000000"/>
      <w:sz w:val="18"/>
      <w:szCs w:val="18"/>
      <w:u w:val="none"/>
    </w:rPr>
  </w:style>
  <w:style w:type="character" w:customStyle="1" w:styleId="74">
    <w:name w:val="font41"/>
    <w:basedOn w:val="29"/>
    <w:qFormat/>
    <w:uiPriority w:val="0"/>
    <w:rPr>
      <w:rFonts w:ascii="Calibri" w:hAnsi="Calibri" w:cs="Calibri"/>
      <w:color w:val="000000"/>
      <w:sz w:val="18"/>
      <w:szCs w:val="18"/>
      <w:u w:val="none"/>
    </w:rPr>
  </w:style>
  <w:style w:type="character" w:customStyle="1" w:styleId="75">
    <w:name w:val="正文缩进 字符"/>
    <w:link w:val="6"/>
    <w:qFormat/>
    <w:uiPriority w:val="0"/>
    <w:rPr>
      <w:rFonts w:asciiTheme="minorHAnsi" w:hAnsiTheme="minorHAnsi" w:eastAsiaTheme="minorEastAsia" w:cstheme="minorBidi"/>
      <w:kern w:val="2"/>
      <w:sz w:val="24"/>
      <w:szCs w:val="22"/>
    </w:rPr>
  </w:style>
  <w:style w:type="character" w:customStyle="1" w:styleId="76">
    <w:name w:val="font81"/>
    <w:basedOn w:val="29"/>
    <w:qFormat/>
    <w:uiPriority w:val="0"/>
    <w:rPr>
      <w:rFonts w:hint="default" w:ascii="Arial" w:hAnsi="Arial" w:cs="Arial"/>
      <w:color w:val="000000"/>
      <w:sz w:val="20"/>
      <w:szCs w:val="20"/>
      <w:u w:val="none"/>
    </w:rPr>
  </w:style>
  <w:style w:type="paragraph" w:customStyle="1" w:styleId="77">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Micorosoft</Company>
  <Pages>60</Pages>
  <Words>12011</Words>
  <Characters>12533</Characters>
  <Lines>142</Lines>
  <Paragraphs>40</Paragraphs>
  <TotalTime>3</TotalTime>
  <ScaleCrop>false</ScaleCrop>
  <LinksUpToDate>false</LinksUpToDate>
  <CharactersWithSpaces>12615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2023-02-01T08:26:00Z</dcterms:created>
  <dc:creator>Administrator</dc:creator>
  <cp:lastModifiedBy>魚虞</cp:lastModifiedBy>
  <cp:lastPrinted>2022-11-22T06:25:00Z</cp:lastPrinted>
  <dcterms:modified xsi:type="dcterms:W3CDTF">2024-10-24T01:04:29Z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FF6F9AD77FA64956B2BAF97333DA37CF_13</vt:lpwstr>
  </property>
</Properties>
</file>