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AEDBA">
      <w:pPr>
        <w:spacing w:line="480" w:lineRule="auto"/>
        <w:jc w:val="center"/>
        <w:rPr>
          <w:rFonts w:ascii="宋体" w:hAnsi="宋体" w:eastAsia="宋体" w:cs="宋体"/>
          <w:b/>
          <w:bCs/>
          <w:color w:val="auto"/>
          <w:sz w:val="48"/>
          <w:szCs w:val="48"/>
        </w:rPr>
      </w:pPr>
      <w:r>
        <w:rPr>
          <w:rFonts w:hint="eastAsia" w:ascii="宋体" w:hAnsi="宋体" w:eastAsia="宋体" w:cs="宋体"/>
          <w:b/>
          <w:bCs/>
          <w:color w:val="auto"/>
          <w:sz w:val="48"/>
          <w:szCs w:val="48"/>
        </w:rPr>
        <w:t>常州市金坛区建设工程招标公告</w:t>
      </w:r>
    </w:p>
    <w:p w14:paraId="7BB62D53">
      <w:pPr>
        <w:tabs>
          <w:tab w:val="left" w:pos="0"/>
          <w:tab w:val="center" w:pos="4156"/>
        </w:tabs>
        <w:spacing w:line="60" w:lineRule="auto"/>
        <w:jc w:val="left"/>
        <w:rPr>
          <w:rFonts w:ascii="宋体" w:hAnsi="宋体" w:eastAsia="宋体" w:cs="宋体"/>
          <w:color w:val="auto"/>
        </w:rPr>
      </w:pPr>
      <w:r>
        <w:rPr>
          <w:rFonts w:hint="eastAsia" w:ascii="宋体" w:hAnsi="宋体" w:eastAsia="宋体" w:cs="宋体"/>
          <w:color w:val="auto"/>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257800"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8pt;height:0pt;width:414pt;z-index:251659264;mso-width-relative:page;mso-height-relative:page;" filled="f" stroked="t" coordsize="21600,21600"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v:fill on="f" focussize="0,0"/>
                <v:stroke color="#000000" joinstyle="round"/>
                <v:imagedata o:title=""/>
                <o:lock v:ext="edit" aspectratio="f"/>
              </v:line>
            </w:pict>
          </mc:Fallback>
        </mc:AlternateContent>
      </w:r>
      <w:r>
        <w:rPr>
          <w:rFonts w:hint="eastAsia" w:ascii="宋体" w:hAnsi="宋体" w:eastAsia="宋体" w:cs="宋体"/>
          <w:color w:val="auto"/>
          <w:sz w:val="30"/>
        </w:rPr>
        <w:tab/>
      </w:r>
      <w:r>
        <w:rPr>
          <w:rFonts w:hint="eastAsia" w:ascii="宋体" w:hAnsi="宋体" w:eastAsia="宋体" w:cs="宋体"/>
          <w:color w:val="auto"/>
          <w:sz w:val="30"/>
        </w:rPr>
        <w:tab/>
      </w:r>
      <w:r>
        <w:rPr>
          <w:rFonts w:hint="eastAsia" w:ascii="宋体" w:hAnsi="宋体" w:eastAsia="宋体" w:cs="宋体"/>
          <w:color w:val="auto"/>
          <w:sz w:val="30"/>
        </w:rPr>
        <w:t xml:space="preserve">                           </w:t>
      </w:r>
    </w:p>
    <w:p w14:paraId="7B5C92C1">
      <w:pPr>
        <w:widowControl/>
        <w:spacing w:before="0" w:beforeAutospacing="0" w:after="0" w:afterAutospacing="0" w:line="360" w:lineRule="auto"/>
        <w:jc w:val="left"/>
        <w:rPr>
          <w:rFonts w:hint="eastAsia" w:ascii="宋体" w:hAnsi="宋体" w:eastAsia="宋体" w:cs="宋体"/>
          <w:b w:val="0"/>
          <w:bCs/>
          <w:color w:val="auto"/>
          <w:kern w:val="0"/>
          <w:sz w:val="21"/>
          <w:szCs w:val="21"/>
          <w:lang w:val="en-US" w:eastAsia="zh-CN" w:bidi="ar-SA"/>
        </w:rPr>
      </w:pPr>
      <w:r>
        <w:rPr>
          <w:rFonts w:hint="eastAsia" w:ascii="宋体" w:hAnsi="宋体" w:eastAsia="宋体" w:cs="宋体"/>
          <w:b/>
          <w:color w:val="auto"/>
          <w:kern w:val="0"/>
          <w:sz w:val="21"/>
          <w:szCs w:val="21"/>
          <w:lang w:val="en-US" w:eastAsia="zh-CN" w:bidi="ar-SA"/>
        </w:rPr>
        <w:t>1、工程名称：新城实验幼儿园暑期木质防护</w:t>
      </w:r>
    </w:p>
    <w:p w14:paraId="6B2361D6">
      <w:pPr>
        <w:spacing w:line="360" w:lineRule="auto"/>
        <w:rPr>
          <w:rFonts w:ascii="宋体" w:hAnsi="宋体" w:eastAsia="宋体" w:cs="宋体"/>
          <w:b/>
          <w:color w:val="auto"/>
          <w:szCs w:val="21"/>
        </w:rPr>
      </w:pPr>
      <w:r>
        <w:rPr>
          <w:rFonts w:hint="eastAsia" w:ascii="宋体" w:hAnsi="宋体" w:eastAsia="宋体" w:cs="宋体"/>
          <w:b/>
          <w:color w:val="auto"/>
          <w:szCs w:val="21"/>
        </w:rPr>
        <w:t>2、工程概况：</w:t>
      </w:r>
    </w:p>
    <w:p w14:paraId="4615098F">
      <w:pPr>
        <w:widowControl/>
        <w:spacing w:before="0" w:beforeAutospacing="0" w:after="0" w:afterAutospacing="0" w:line="360" w:lineRule="auto"/>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 xml:space="preserve">    （1）项目地点：常州市金坛区新城实验幼儿园；</w:t>
      </w:r>
    </w:p>
    <w:p w14:paraId="689DB70D">
      <w:pPr>
        <w:widowControl/>
        <w:spacing w:before="0" w:beforeAutospacing="0" w:after="0" w:afterAutospacing="0" w:line="360" w:lineRule="auto"/>
        <w:jc w:val="left"/>
        <w:rPr>
          <w:rFonts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 xml:space="preserve">    （2）项目内容：招标清单、控制价及编制说明等包括的全部内容；</w:t>
      </w:r>
    </w:p>
    <w:p w14:paraId="4BC436AB">
      <w:pPr>
        <w:widowControl/>
        <w:spacing w:before="0" w:beforeAutospacing="0" w:after="0" w:afterAutospacing="0" w:line="360" w:lineRule="auto"/>
        <w:jc w:val="left"/>
        <w:rPr>
          <w:rFonts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 xml:space="preserve">    （3）质量要求：合格；</w:t>
      </w:r>
    </w:p>
    <w:p w14:paraId="392F43FB">
      <w:pPr>
        <w:widowControl/>
        <w:spacing w:before="0" w:beforeAutospacing="0" w:after="0" w:afterAutospacing="0" w:line="360" w:lineRule="auto"/>
        <w:jc w:val="left"/>
        <w:rPr>
          <w:rFonts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 xml:space="preserve">    （4</w:t>
      </w:r>
      <w:r>
        <w:rPr>
          <w:rFonts w:hint="eastAsia" w:ascii="宋体" w:hAnsi="宋体" w:eastAsia="宋体" w:cs="宋体"/>
          <w:color w:val="auto"/>
          <w:kern w:val="0"/>
          <w:sz w:val="21"/>
          <w:szCs w:val="21"/>
          <w:highlight w:val="none"/>
          <w:lang w:val="en-US" w:eastAsia="zh-CN" w:bidi="ar-SA"/>
        </w:rPr>
        <w:t>）施工工期：25日历天。</w:t>
      </w:r>
    </w:p>
    <w:p w14:paraId="2B46216E">
      <w:pPr>
        <w:adjustRightInd w:val="0"/>
        <w:snapToGrid w:val="0"/>
        <w:spacing w:line="360" w:lineRule="auto"/>
        <w:rPr>
          <w:rFonts w:ascii="宋体" w:hAnsi="宋体" w:eastAsia="宋体" w:cs="宋体"/>
          <w:b/>
          <w:color w:val="auto"/>
          <w:szCs w:val="21"/>
        </w:rPr>
      </w:pPr>
      <w:r>
        <w:rPr>
          <w:rFonts w:hint="eastAsia" w:ascii="宋体" w:hAnsi="宋体" w:eastAsia="宋体" w:cs="宋体"/>
          <w:b/>
          <w:color w:val="auto"/>
          <w:szCs w:val="21"/>
        </w:rPr>
        <w:t>3、本次招标工程共分</w:t>
      </w:r>
      <w:r>
        <w:rPr>
          <w:rFonts w:hint="eastAsia" w:ascii="宋体" w:hAnsi="宋体" w:eastAsia="宋体" w:cs="宋体"/>
          <w:b/>
          <w:color w:val="auto"/>
          <w:szCs w:val="21"/>
          <w:u w:val="single"/>
        </w:rPr>
        <w:t>1</w:t>
      </w:r>
      <w:r>
        <w:rPr>
          <w:rFonts w:hint="eastAsia" w:ascii="宋体" w:hAnsi="宋体" w:eastAsia="宋体" w:cs="宋体"/>
          <w:b/>
          <w:color w:val="auto"/>
          <w:szCs w:val="21"/>
        </w:rPr>
        <w:t>个标段，标段划分及报名单位的资质条件、相关要求如下：</w:t>
      </w:r>
    </w:p>
    <w:tbl>
      <w:tblPr>
        <w:tblStyle w:val="2"/>
        <w:tblW w:w="8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529"/>
        <w:gridCol w:w="1919"/>
        <w:gridCol w:w="1380"/>
        <w:gridCol w:w="2410"/>
        <w:gridCol w:w="2197"/>
      </w:tblGrid>
      <w:tr w14:paraId="74017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atLeast"/>
          <w:jc w:val="center"/>
        </w:trPr>
        <w:tc>
          <w:tcPr>
            <w:tcW w:w="529" w:type="dxa"/>
            <w:vAlign w:val="center"/>
          </w:tcPr>
          <w:p w14:paraId="18B12C4F">
            <w:pPr>
              <w:widowControl/>
              <w:spacing w:line="360" w:lineRule="auto"/>
              <w:jc w:val="center"/>
              <w:textAlignment w:val="center"/>
              <w:rPr>
                <w:rFonts w:ascii="宋体" w:hAnsi="宋体" w:eastAsia="宋体" w:cs="宋体"/>
                <w:b/>
                <w:bCs/>
                <w:color w:val="auto"/>
                <w:kern w:val="0"/>
                <w:szCs w:val="21"/>
                <w:lang w:bidi="ar"/>
              </w:rPr>
            </w:pPr>
            <w:r>
              <w:rPr>
                <w:rFonts w:hint="eastAsia" w:ascii="宋体" w:hAnsi="宋体" w:eastAsia="宋体" w:cs="宋体"/>
                <w:b/>
                <w:bCs/>
                <w:color w:val="auto"/>
                <w:kern w:val="0"/>
                <w:szCs w:val="21"/>
                <w:lang w:bidi="ar"/>
              </w:rPr>
              <w:t>序号</w:t>
            </w:r>
          </w:p>
        </w:tc>
        <w:tc>
          <w:tcPr>
            <w:tcW w:w="1919" w:type="dxa"/>
            <w:vAlign w:val="center"/>
          </w:tcPr>
          <w:p w14:paraId="662DAB56">
            <w:pPr>
              <w:widowControl/>
              <w:spacing w:line="360" w:lineRule="auto"/>
              <w:jc w:val="center"/>
              <w:textAlignment w:val="center"/>
              <w:rPr>
                <w:rFonts w:ascii="宋体" w:hAnsi="宋体" w:eastAsia="宋体" w:cs="宋体"/>
                <w:b/>
                <w:bCs/>
                <w:color w:val="auto"/>
                <w:szCs w:val="21"/>
              </w:rPr>
            </w:pPr>
            <w:r>
              <w:rPr>
                <w:rFonts w:hint="eastAsia" w:ascii="宋体" w:hAnsi="宋体" w:eastAsia="宋体" w:cs="宋体"/>
                <w:b/>
                <w:bCs/>
                <w:color w:val="auto"/>
                <w:kern w:val="0"/>
                <w:szCs w:val="21"/>
                <w:lang w:bidi="ar"/>
              </w:rPr>
              <w:t>工程名称</w:t>
            </w:r>
          </w:p>
        </w:tc>
        <w:tc>
          <w:tcPr>
            <w:tcW w:w="1380" w:type="dxa"/>
            <w:vAlign w:val="center"/>
          </w:tcPr>
          <w:p w14:paraId="10361893">
            <w:pPr>
              <w:widowControl/>
              <w:spacing w:line="360" w:lineRule="auto"/>
              <w:jc w:val="center"/>
              <w:textAlignment w:val="center"/>
              <w:rPr>
                <w:rFonts w:ascii="宋体" w:hAnsi="宋体" w:eastAsia="宋体" w:cs="宋体"/>
                <w:b/>
                <w:bCs/>
                <w:color w:val="auto"/>
                <w:szCs w:val="21"/>
              </w:rPr>
            </w:pPr>
            <w:r>
              <w:rPr>
                <w:rFonts w:hint="eastAsia" w:ascii="宋体" w:hAnsi="宋体" w:eastAsia="宋体" w:cs="宋体"/>
                <w:b/>
                <w:bCs/>
                <w:color w:val="auto"/>
                <w:szCs w:val="21"/>
              </w:rPr>
              <w:t>控制价（元）</w:t>
            </w:r>
          </w:p>
        </w:tc>
        <w:tc>
          <w:tcPr>
            <w:tcW w:w="2410" w:type="dxa"/>
            <w:vAlign w:val="center"/>
          </w:tcPr>
          <w:p w14:paraId="05BD30A6">
            <w:pPr>
              <w:widowControl/>
              <w:spacing w:line="360" w:lineRule="auto"/>
              <w:jc w:val="center"/>
              <w:textAlignment w:val="center"/>
              <w:rPr>
                <w:rFonts w:ascii="宋体" w:hAnsi="宋体" w:eastAsia="宋体" w:cs="宋体"/>
                <w:b/>
                <w:bCs/>
                <w:color w:val="auto"/>
                <w:szCs w:val="21"/>
              </w:rPr>
            </w:pPr>
            <w:r>
              <w:rPr>
                <w:rFonts w:hint="eastAsia" w:ascii="宋体" w:hAnsi="宋体" w:eastAsia="宋体" w:cs="宋体"/>
                <w:b/>
                <w:bCs/>
                <w:color w:val="auto"/>
                <w:szCs w:val="21"/>
              </w:rPr>
              <w:t>投标人资质类别、等级</w:t>
            </w:r>
          </w:p>
        </w:tc>
        <w:tc>
          <w:tcPr>
            <w:tcW w:w="2197" w:type="dxa"/>
            <w:vAlign w:val="center"/>
          </w:tcPr>
          <w:p w14:paraId="16F049B3">
            <w:pPr>
              <w:widowControl/>
              <w:spacing w:line="360" w:lineRule="auto"/>
              <w:jc w:val="center"/>
              <w:textAlignment w:val="center"/>
              <w:rPr>
                <w:rFonts w:ascii="宋体" w:hAnsi="宋体" w:eastAsia="宋体" w:cs="宋体"/>
                <w:b/>
                <w:bCs/>
                <w:color w:val="auto"/>
                <w:szCs w:val="21"/>
              </w:rPr>
            </w:pPr>
            <w:r>
              <w:rPr>
                <w:rFonts w:hint="eastAsia" w:ascii="宋体" w:hAnsi="宋体" w:eastAsia="宋体" w:cs="宋体"/>
                <w:b/>
                <w:bCs/>
                <w:color w:val="auto"/>
                <w:kern w:val="0"/>
                <w:szCs w:val="21"/>
                <w:lang w:bidi="ar"/>
              </w:rPr>
              <w:t>项目负责人要求</w:t>
            </w:r>
          </w:p>
        </w:tc>
      </w:tr>
      <w:tr w14:paraId="7C332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29" w:hRule="atLeast"/>
          <w:jc w:val="center"/>
        </w:trPr>
        <w:tc>
          <w:tcPr>
            <w:tcW w:w="529" w:type="dxa"/>
            <w:vAlign w:val="center"/>
          </w:tcPr>
          <w:p w14:paraId="5494C425">
            <w:pPr>
              <w:widowControl/>
              <w:spacing w:line="360" w:lineRule="auto"/>
              <w:jc w:val="center"/>
              <w:textAlignment w:val="center"/>
              <w:rPr>
                <w:rFonts w:ascii="宋体" w:hAnsi="宋体" w:eastAsia="宋体" w:cs="宋体"/>
                <w:b/>
                <w:bCs/>
                <w:color w:val="auto"/>
                <w:szCs w:val="21"/>
              </w:rPr>
            </w:pPr>
            <w:r>
              <w:rPr>
                <w:rFonts w:hint="eastAsia" w:ascii="宋体" w:hAnsi="宋体" w:eastAsia="宋体" w:cs="宋体"/>
                <w:b/>
                <w:bCs/>
                <w:color w:val="auto"/>
                <w:szCs w:val="21"/>
              </w:rPr>
              <w:t>1</w:t>
            </w:r>
          </w:p>
        </w:tc>
        <w:tc>
          <w:tcPr>
            <w:tcW w:w="1919" w:type="dxa"/>
            <w:vAlign w:val="center"/>
          </w:tcPr>
          <w:p w14:paraId="4B890508">
            <w:pPr>
              <w:widowControl/>
              <w:spacing w:before="0" w:beforeAutospacing="0" w:after="0" w:afterAutospacing="0" w:line="360" w:lineRule="auto"/>
              <w:jc w:val="center"/>
              <w:rPr>
                <w:rFonts w:hint="eastAsia" w:ascii="宋体" w:hAnsi="宋体" w:eastAsia="宋体" w:cs="宋体"/>
                <w:b/>
                <w:color w:val="auto"/>
                <w:kern w:val="0"/>
                <w:sz w:val="21"/>
                <w:szCs w:val="21"/>
                <w:lang w:val="en-US" w:eastAsia="zh-CN" w:bidi="ar-SA"/>
              </w:rPr>
            </w:pPr>
            <w:r>
              <w:rPr>
                <w:rFonts w:hint="eastAsia" w:ascii="宋体" w:hAnsi="宋体" w:eastAsia="宋体" w:cs="宋体"/>
                <w:b/>
                <w:color w:val="auto"/>
                <w:kern w:val="0"/>
                <w:sz w:val="21"/>
                <w:szCs w:val="21"/>
                <w:lang w:val="en-US" w:eastAsia="zh-CN" w:bidi="ar-SA"/>
              </w:rPr>
              <w:t>新城实验幼儿园暑期木质防护</w:t>
            </w:r>
          </w:p>
        </w:tc>
        <w:tc>
          <w:tcPr>
            <w:tcW w:w="1380" w:type="dxa"/>
            <w:vAlign w:val="center"/>
          </w:tcPr>
          <w:p w14:paraId="77C7EEFC">
            <w:pPr>
              <w:widowControl/>
              <w:jc w:val="center"/>
              <w:rPr>
                <w:rFonts w:hint="eastAsia" w:ascii="宋体" w:hAnsi="宋体" w:eastAsia="宋体" w:cs="宋体"/>
                <w:b/>
                <w:color w:val="auto"/>
                <w:szCs w:val="21"/>
                <w:lang w:eastAsia="zh-CN"/>
              </w:rPr>
            </w:pPr>
            <w:r>
              <w:rPr>
                <w:rFonts w:hint="eastAsia" w:ascii="宋体" w:hAnsi="宋体" w:eastAsia="宋体" w:cs="宋体"/>
                <w:b/>
                <w:bCs/>
                <w:color w:val="auto"/>
                <w:szCs w:val="21"/>
                <w:highlight w:val="none"/>
                <w:lang w:val="en-US" w:eastAsia="zh-CN"/>
              </w:rPr>
              <w:t>49919.41</w:t>
            </w:r>
            <w:r>
              <w:rPr>
                <w:rFonts w:hint="eastAsia" w:ascii="宋体" w:hAnsi="宋体" w:eastAsia="宋体" w:cs="宋体"/>
                <w:b/>
                <w:bCs/>
                <w:color w:val="auto"/>
                <w:szCs w:val="21"/>
                <w:highlight w:val="none"/>
                <w:lang w:eastAsia="zh-CN"/>
              </w:rPr>
              <w:t>元</w:t>
            </w:r>
          </w:p>
        </w:tc>
        <w:tc>
          <w:tcPr>
            <w:tcW w:w="2410" w:type="dxa"/>
            <w:vAlign w:val="center"/>
          </w:tcPr>
          <w:p w14:paraId="71135BF4">
            <w:pPr>
              <w:widowControl/>
              <w:spacing w:line="360" w:lineRule="auto"/>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val="en-US" w:eastAsia="zh-CN"/>
              </w:rPr>
              <w:t>建筑工程</w:t>
            </w:r>
            <w:r>
              <w:rPr>
                <w:rFonts w:hint="eastAsia" w:ascii="宋体" w:hAnsi="宋体" w:eastAsia="宋体" w:cs="宋体"/>
                <w:b/>
                <w:bCs/>
                <w:color w:val="auto"/>
                <w:szCs w:val="21"/>
              </w:rPr>
              <w:t>施工总承包三级及以上资质</w:t>
            </w:r>
          </w:p>
        </w:tc>
        <w:tc>
          <w:tcPr>
            <w:tcW w:w="2197" w:type="dxa"/>
            <w:vAlign w:val="center"/>
          </w:tcPr>
          <w:p w14:paraId="37F3AA63">
            <w:pPr>
              <w:widowControl/>
              <w:spacing w:line="360" w:lineRule="auto"/>
              <w:jc w:val="center"/>
              <w:textAlignment w:val="center"/>
              <w:rPr>
                <w:rFonts w:ascii="宋体" w:hAnsi="宋体" w:eastAsia="宋体" w:cs="宋体"/>
                <w:b/>
                <w:bCs/>
                <w:color w:val="auto"/>
                <w:szCs w:val="21"/>
              </w:rPr>
            </w:pPr>
            <w:r>
              <w:rPr>
                <w:rFonts w:hint="eastAsia" w:ascii="宋体" w:hAnsi="宋体" w:eastAsia="宋体" w:cs="宋体"/>
                <w:b/>
                <w:bCs/>
                <w:color w:val="auto"/>
                <w:szCs w:val="21"/>
                <w:lang w:val="en-US" w:eastAsia="zh-CN"/>
              </w:rPr>
              <w:t>建筑工程</w:t>
            </w:r>
            <w:r>
              <w:rPr>
                <w:rFonts w:hint="eastAsia" w:ascii="宋体" w:hAnsi="宋体" w:eastAsia="宋体" w:cs="宋体"/>
                <w:b/>
                <w:color w:val="auto"/>
                <w:szCs w:val="21"/>
              </w:rPr>
              <w:t>二级及以上注册建造师资质</w:t>
            </w:r>
          </w:p>
        </w:tc>
      </w:tr>
    </w:tbl>
    <w:p w14:paraId="15B26870">
      <w:pPr>
        <w:spacing w:line="360" w:lineRule="auto"/>
        <w:ind w:firstLine="105" w:firstLineChars="50"/>
        <w:jc w:val="left"/>
        <w:rPr>
          <w:rFonts w:ascii="宋体" w:hAnsi="宋体" w:eastAsia="宋体" w:cs="宋体"/>
          <w:b/>
          <w:color w:val="auto"/>
          <w:kern w:val="0"/>
          <w:szCs w:val="21"/>
        </w:rPr>
      </w:pPr>
      <w:r>
        <w:rPr>
          <w:rFonts w:hint="eastAsia" w:ascii="宋体" w:hAnsi="宋体" w:eastAsia="宋体" w:cs="宋体"/>
          <w:b/>
          <w:color w:val="auto"/>
          <w:kern w:val="0"/>
          <w:szCs w:val="21"/>
        </w:rPr>
        <w:t>4、其它报名条件：</w:t>
      </w:r>
    </w:p>
    <w:p w14:paraId="576B443C">
      <w:pPr>
        <w:widowControl/>
        <w:spacing w:before="0" w:beforeAutospacing="0" w:after="0" w:afterAutospacing="0" w:line="360" w:lineRule="auto"/>
        <w:ind w:firstLine="420" w:firstLineChars="200"/>
        <w:jc w:val="left"/>
        <w:rPr>
          <w:rFonts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（1）本工程采用资格后审的方式；</w:t>
      </w:r>
    </w:p>
    <w:p w14:paraId="5948B2B2">
      <w:pPr>
        <w:widowControl/>
        <w:spacing w:before="0" w:beforeAutospacing="0" w:after="0" w:afterAutospacing="0" w:line="360" w:lineRule="auto"/>
        <w:ind w:firstLine="420" w:firstLineChars="20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（2）投标保证</w:t>
      </w:r>
      <w:r>
        <w:rPr>
          <w:rFonts w:hint="eastAsia" w:ascii="宋体" w:hAnsi="宋体" w:eastAsia="宋体" w:cs="宋体"/>
          <w:color w:val="auto"/>
          <w:kern w:val="0"/>
          <w:sz w:val="21"/>
          <w:szCs w:val="21"/>
          <w:highlight w:val="none"/>
          <w:lang w:val="en-US" w:eastAsia="zh-CN" w:bidi="ar-SA"/>
        </w:rPr>
        <w:t>金：1000元整</w:t>
      </w:r>
      <w:r>
        <w:rPr>
          <w:rFonts w:hint="eastAsia" w:ascii="宋体" w:hAnsi="宋体" w:eastAsia="宋体" w:cs="宋体"/>
          <w:color w:val="auto"/>
          <w:kern w:val="0"/>
          <w:sz w:val="21"/>
          <w:szCs w:val="21"/>
          <w:lang w:val="en-US" w:eastAsia="zh-CN" w:bidi="ar-SA"/>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p>
    <w:p w14:paraId="57B462D9">
      <w:pPr>
        <w:widowControl/>
        <w:spacing w:before="0" w:beforeAutospacing="0" w:after="0" w:afterAutospacing="0" w:line="360" w:lineRule="auto"/>
        <w:ind w:firstLine="420" w:firstLineChars="20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（3）如法定代表人出席开标会，需手持法定代表人资格证明书原件（除投标书中另外单独手持一份）、本人第二代身份证原件及投标保证金出席开标会，否则招标人将拒绝其投标；</w:t>
      </w:r>
    </w:p>
    <w:p w14:paraId="0B7A564E">
      <w:pPr>
        <w:widowControl/>
        <w:spacing w:before="0" w:beforeAutospacing="0" w:after="0" w:afterAutospacing="0" w:line="360" w:lineRule="auto"/>
        <w:ind w:firstLine="420" w:firstLineChars="20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（4）如委托代理人参加开标会，需手持法定代表人授权委托书原件（除投标书中另外单独手持一份）、本人第二代身份证原件及投标保证金准时参加开标会议，否则招标人将拒绝其投标；</w:t>
      </w:r>
    </w:p>
    <w:p w14:paraId="7B9F26DC">
      <w:pPr>
        <w:widowControl/>
        <w:spacing w:before="0" w:beforeAutospacing="0" w:after="0" w:afterAutospacing="0" w:line="360" w:lineRule="auto"/>
        <w:ind w:firstLine="420" w:firstLineChars="20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（5）未被“信用中国”网站（WWW.creditchina.gov.cn）或“中国政府采购网”网站（www.ccgp.gov.cn）列入失信被执行人、重大税收违法案件当事人名单、政府采购严重失信行为记录名单；</w:t>
      </w:r>
    </w:p>
    <w:p w14:paraId="15616F9C">
      <w:pPr>
        <w:widowControl/>
        <w:spacing w:before="0" w:beforeAutospacing="0" w:after="0" w:afterAutospacing="0" w:line="360" w:lineRule="auto"/>
        <w:ind w:firstLine="420" w:firstLineChars="200"/>
        <w:jc w:val="left"/>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（6）本项目不接受联合体投标；</w:t>
      </w:r>
    </w:p>
    <w:p w14:paraId="68E9A63E">
      <w:pPr>
        <w:widowControl/>
        <w:spacing w:before="0" w:beforeAutospacing="0" w:after="0" w:afterAutospacing="0" w:line="360" w:lineRule="auto"/>
        <w:ind w:firstLine="420" w:firstLineChars="200"/>
        <w:jc w:val="left"/>
        <w:rPr>
          <w:rFonts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（7）单位负责人为同一人或者存在直接控股、管理关系的不同供应商（包含法定代表人为同一个人的两个及两个以上法人，母公司、全资子公司及其控股公司），不得参加同一合同项下的政府采购活动。</w:t>
      </w:r>
    </w:p>
    <w:p w14:paraId="313B36FC">
      <w:pPr>
        <w:numPr>
          <w:ilvl w:val="0"/>
          <w:numId w:val="1"/>
        </w:numPr>
        <w:spacing w:line="360" w:lineRule="auto"/>
        <w:jc w:val="left"/>
        <w:rPr>
          <w:rFonts w:ascii="宋体" w:hAnsi="宋体" w:eastAsia="宋体" w:cs="宋体"/>
          <w:b/>
          <w:color w:val="auto"/>
          <w:kern w:val="0"/>
          <w:szCs w:val="21"/>
        </w:rPr>
      </w:pPr>
      <w:r>
        <w:rPr>
          <w:rFonts w:hint="eastAsia" w:ascii="宋体" w:hAnsi="宋体" w:eastAsia="宋体" w:cs="宋体"/>
          <w:b/>
          <w:color w:val="auto"/>
          <w:szCs w:val="21"/>
          <w:shd w:val="clear" w:color="auto" w:fill="FFFFFF"/>
        </w:rPr>
        <w:t>资格后审（报名时）需携带以下资料</w:t>
      </w:r>
      <w:r>
        <w:rPr>
          <w:rFonts w:hint="eastAsia" w:ascii="宋体" w:hAnsi="宋体" w:eastAsia="宋体" w:cs="宋体"/>
          <w:b/>
          <w:color w:val="auto"/>
          <w:kern w:val="0"/>
          <w:szCs w:val="21"/>
        </w:rPr>
        <w:t xml:space="preserve">： </w:t>
      </w:r>
    </w:p>
    <w:p w14:paraId="707F72C2">
      <w:pPr>
        <w:widowControl/>
        <w:spacing w:before="0" w:beforeAutospacing="0" w:after="0" w:afterAutospacing="0" w:line="360" w:lineRule="auto"/>
        <w:ind w:firstLine="420" w:firstLineChars="200"/>
        <w:jc w:val="left"/>
        <w:rPr>
          <w:rFonts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（1）常州市建设工程投标报名申请书（附件1）；</w:t>
      </w:r>
    </w:p>
    <w:p w14:paraId="6BAA46C7">
      <w:pPr>
        <w:widowControl/>
        <w:spacing w:before="0" w:beforeAutospacing="0" w:after="0" w:afterAutospacing="0" w:line="360" w:lineRule="auto"/>
        <w:ind w:firstLine="420" w:firstLineChars="200"/>
        <w:jc w:val="left"/>
        <w:rPr>
          <w:rFonts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（2）法定代表人资格证明书及本人身份证；或法定代表人授权委托书及委托代理人身份证；</w:t>
      </w:r>
    </w:p>
    <w:p w14:paraId="15C4CB6F">
      <w:pPr>
        <w:widowControl/>
        <w:spacing w:before="0" w:beforeAutospacing="0" w:after="0" w:afterAutospacing="0" w:line="360" w:lineRule="auto"/>
        <w:ind w:firstLine="420" w:firstLineChars="200"/>
        <w:jc w:val="left"/>
        <w:rPr>
          <w:rFonts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（3）企业营业执照、企业资质证书、企业安全生产许可证；</w:t>
      </w:r>
    </w:p>
    <w:p w14:paraId="07B44366">
      <w:pPr>
        <w:widowControl/>
        <w:spacing w:before="0" w:beforeAutospacing="0" w:after="0" w:afterAutospacing="0" w:line="360" w:lineRule="auto"/>
        <w:ind w:firstLine="420" w:firstLineChars="200"/>
        <w:jc w:val="left"/>
        <w:rPr>
          <w:rFonts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（4）拟投标建造师注册证书及建设行政主管部门核发的安全生产考核合格证（B 证）；</w:t>
      </w:r>
    </w:p>
    <w:p w14:paraId="35B15346">
      <w:pPr>
        <w:widowControl/>
        <w:spacing w:before="0" w:beforeAutospacing="0" w:after="0" w:afterAutospacing="0" w:line="360" w:lineRule="auto"/>
        <w:ind w:firstLine="420" w:firstLineChars="200"/>
        <w:jc w:val="left"/>
        <w:rPr>
          <w:rFonts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（5）授权委托人及项目经理（建造师）的社会保障机构盖章的养老保险缴纳证明（缴纳</w:t>
      </w:r>
      <w:r>
        <w:rPr>
          <w:rFonts w:hint="eastAsia" w:ascii="宋体" w:hAnsi="宋体" w:eastAsia="宋体" w:cs="宋体"/>
          <w:color w:val="auto"/>
          <w:kern w:val="0"/>
          <w:sz w:val="21"/>
          <w:szCs w:val="21"/>
          <w:highlight w:val="none"/>
          <w:lang w:val="en-US" w:eastAsia="zh-CN" w:bidi="ar-SA"/>
        </w:rPr>
        <w:t>时间为2025年4月-2025年6月，其</w:t>
      </w:r>
      <w:r>
        <w:rPr>
          <w:rFonts w:hint="eastAsia" w:ascii="宋体" w:hAnsi="宋体" w:eastAsia="宋体" w:cs="宋体"/>
          <w:color w:val="auto"/>
          <w:kern w:val="0"/>
          <w:sz w:val="21"/>
          <w:szCs w:val="21"/>
          <w:lang w:val="en-US" w:eastAsia="zh-CN" w:bidi="ar-SA"/>
        </w:rPr>
        <w:t>中任一月均可）；</w:t>
      </w:r>
    </w:p>
    <w:p w14:paraId="68321298">
      <w:pPr>
        <w:widowControl/>
        <w:spacing w:before="0" w:beforeAutospacing="0" w:after="0" w:afterAutospacing="0" w:line="360" w:lineRule="auto"/>
        <w:ind w:firstLine="413" w:firstLineChars="196"/>
        <w:jc w:val="left"/>
        <w:rPr>
          <w:rFonts w:ascii="宋体" w:hAnsi="宋体" w:eastAsia="宋体" w:cs="宋体"/>
          <w:b/>
          <w:color w:val="auto"/>
          <w:kern w:val="0"/>
          <w:sz w:val="21"/>
          <w:szCs w:val="21"/>
          <w:lang w:val="en-US" w:eastAsia="zh-CN" w:bidi="ar-SA"/>
        </w:rPr>
      </w:pPr>
      <w:r>
        <w:rPr>
          <w:rFonts w:hint="eastAsia" w:ascii="宋体" w:hAnsi="宋体" w:eastAsia="宋体" w:cs="宋体"/>
          <w:b/>
          <w:color w:val="auto"/>
          <w:kern w:val="0"/>
          <w:sz w:val="21"/>
          <w:szCs w:val="21"/>
          <w:lang w:val="en-US" w:eastAsia="zh-CN" w:bidi="ar-SA"/>
        </w:rPr>
        <w:t xml:space="preserve">注：资格审查资料必须按上述顺序提供二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14:paraId="2E211DC6">
      <w:pPr>
        <w:widowControl/>
        <w:spacing w:before="0" w:beforeAutospacing="0" w:after="0" w:afterAutospacing="0" w:line="360" w:lineRule="auto"/>
        <w:ind w:firstLine="413" w:firstLineChars="196"/>
        <w:jc w:val="left"/>
        <w:rPr>
          <w:rFonts w:ascii="宋体" w:hAnsi="宋体" w:eastAsia="宋体" w:cs="宋体"/>
          <w:b/>
          <w:color w:val="auto"/>
          <w:kern w:val="0"/>
          <w:sz w:val="21"/>
          <w:szCs w:val="21"/>
          <w:lang w:val="en-US" w:eastAsia="zh-CN" w:bidi="ar-SA"/>
        </w:rPr>
      </w:pPr>
      <w:r>
        <w:rPr>
          <w:rFonts w:hint="eastAsia" w:ascii="宋体" w:hAnsi="宋体" w:eastAsia="宋体" w:cs="宋体"/>
          <w:b/>
          <w:color w:val="auto"/>
          <w:kern w:val="0"/>
          <w:sz w:val="21"/>
          <w:szCs w:val="21"/>
          <w:lang w:val="en-US" w:eastAsia="zh-CN" w:bidi="ar-SA"/>
        </w:rPr>
        <w:t>投标人递交的关于本工程所有的资审资料，都必须在有效期内。如有关资审资料在年审中的，开标时必须出具发证单位的证明原件。</w:t>
      </w:r>
    </w:p>
    <w:p w14:paraId="60A369A1">
      <w:pPr>
        <w:widowControl/>
        <w:spacing w:before="0" w:beforeAutospacing="0" w:after="0" w:afterAutospacing="0" w:line="360" w:lineRule="auto"/>
        <w:ind w:firstLine="120"/>
        <w:jc w:val="left"/>
        <w:rPr>
          <w:rFonts w:ascii="宋体" w:hAnsi="宋体" w:eastAsia="宋体" w:cs="宋体"/>
          <w:b/>
          <w:color w:val="auto"/>
          <w:kern w:val="0"/>
          <w:sz w:val="21"/>
          <w:szCs w:val="21"/>
          <w:lang w:val="en-US" w:eastAsia="zh-CN" w:bidi="ar-SA"/>
        </w:rPr>
      </w:pPr>
      <w:r>
        <w:rPr>
          <w:rFonts w:hint="eastAsia" w:ascii="宋体" w:hAnsi="宋体" w:eastAsia="宋体" w:cs="宋体"/>
          <w:b/>
          <w:color w:val="auto"/>
          <w:kern w:val="0"/>
          <w:sz w:val="21"/>
          <w:szCs w:val="21"/>
          <w:lang w:val="en-US" w:eastAsia="zh-CN" w:bidi="ar-SA"/>
        </w:rPr>
        <w:t>（资格后审时一次性递交本公告第5项要求的资料，不接受补充资料）。</w:t>
      </w:r>
    </w:p>
    <w:p w14:paraId="43E11AF6">
      <w:pPr>
        <w:widowControl/>
        <w:spacing w:before="0" w:beforeAutospacing="0" w:after="0" w:afterAutospacing="0" w:line="360" w:lineRule="auto"/>
        <w:ind w:firstLine="120"/>
        <w:jc w:val="left"/>
        <w:rPr>
          <w:rFonts w:ascii="宋体" w:hAnsi="宋体" w:eastAsia="宋体" w:cs="宋体"/>
          <w:color w:val="auto"/>
          <w:kern w:val="0"/>
          <w:sz w:val="21"/>
          <w:szCs w:val="21"/>
          <w:lang w:val="en-US" w:eastAsia="zh-CN" w:bidi="ar-SA"/>
        </w:rPr>
      </w:pPr>
      <w:r>
        <w:rPr>
          <w:rFonts w:hint="eastAsia" w:ascii="宋体" w:hAnsi="宋体" w:eastAsia="宋体" w:cs="宋体"/>
          <w:b/>
          <w:color w:val="auto"/>
          <w:kern w:val="0"/>
          <w:sz w:val="21"/>
          <w:szCs w:val="21"/>
          <w:shd w:val="clear" w:color="auto" w:fill="FFFFFF"/>
          <w:lang w:val="en-US" w:eastAsia="zh-CN" w:bidi="ar-SA"/>
        </w:rPr>
        <w:t>6、</w:t>
      </w:r>
      <w:r>
        <w:rPr>
          <w:rFonts w:hint="eastAsia" w:ascii="Times New Roman" w:hAnsi="Times New Roman" w:eastAsia="宋体" w:cs="Times New Roman"/>
          <w:b/>
          <w:bCs/>
          <w:color w:val="auto"/>
          <w:kern w:val="2"/>
          <w:sz w:val="21"/>
          <w:szCs w:val="21"/>
          <w:shd w:val="clear" w:color="auto" w:fill="FFFFFF"/>
          <w:lang w:val="en-US" w:eastAsia="zh-CN" w:bidi="ar-SA"/>
        </w:rPr>
        <w:t>公告时间及发出招标文件时间、地点：</w:t>
      </w:r>
      <w:r>
        <w:rPr>
          <w:rFonts w:hint="eastAsia" w:ascii="宋体" w:hAnsi="宋体" w:eastAsia="宋体" w:cs="宋体"/>
          <w:color w:val="auto"/>
          <w:kern w:val="0"/>
          <w:sz w:val="21"/>
          <w:szCs w:val="21"/>
          <w:shd w:val="clear" w:color="auto" w:fill="FFFFFF"/>
          <w:lang w:val="en-US" w:eastAsia="zh-CN" w:bidi="ar-SA"/>
        </w:rPr>
        <w:t xml:space="preserve"> </w:t>
      </w:r>
    </w:p>
    <w:p w14:paraId="62C0F661">
      <w:pPr>
        <w:widowControl/>
        <w:spacing w:before="0" w:beforeAutospacing="0" w:after="0" w:afterAutospacing="0" w:line="360" w:lineRule="auto"/>
        <w:ind w:firstLine="210" w:firstLineChars="100"/>
        <w:jc w:val="left"/>
        <w:rPr>
          <w:rFonts w:ascii="宋体" w:hAnsi="宋体" w:eastAsia="宋体" w:cs="宋体"/>
          <w:color w:val="auto"/>
          <w:kern w:val="0"/>
          <w:sz w:val="21"/>
          <w:szCs w:val="21"/>
          <w:highlight w:val="none"/>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（1）公告</w:t>
      </w:r>
      <w:r>
        <w:rPr>
          <w:rFonts w:hint="eastAsia" w:ascii="宋体" w:hAnsi="宋体" w:eastAsia="宋体" w:cs="宋体"/>
          <w:color w:val="auto"/>
          <w:kern w:val="0"/>
          <w:sz w:val="21"/>
          <w:szCs w:val="21"/>
          <w:highlight w:val="none"/>
          <w:shd w:val="clear" w:color="auto" w:fill="FFFFFF"/>
          <w:lang w:val="en-US" w:eastAsia="zh-CN" w:bidi="ar-SA"/>
        </w:rPr>
        <w:t xml:space="preserve">时间：2025年6月26日~2025年7月1日； </w:t>
      </w:r>
    </w:p>
    <w:p w14:paraId="71294EAB">
      <w:pPr>
        <w:widowControl/>
        <w:spacing w:before="0" w:beforeAutospacing="0" w:after="0" w:afterAutospacing="0" w:line="360" w:lineRule="auto"/>
        <w:ind w:firstLine="525" w:firstLineChars="250"/>
        <w:jc w:val="left"/>
        <w:rPr>
          <w:rFonts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招标文件：详见附件；</w:t>
      </w:r>
    </w:p>
    <w:p w14:paraId="3FB4FA39">
      <w:pPr>
        <w:widowControl/>
        <w:spacing w:before="0" w:beforeAutospacing="0" w:after="0" w:afterAutospacing="0" w:line="360" w:lineRule="auto"/>
        <w:ind w:firstLine="525" w:firstLineChars="250"/>
        <w:jc w:val="left"/>
        <w:rPr>
          <w:rFonts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编制说明、招标控制价、工程量清单：详见附件；</w:t>
      </w:r>
    </w:p>
    <w:p w14:paraId="19EDBEAA">
      <w:pPr>
        <w:widowControl/>
        <w:spacing w:before="0" w:beforeAutospacing="0" w:after="0" w:afterAutospacing="0" w:line="360" w:lineRule="auto"/>
        <w:jc w:val="left"/>
        <w:rPr>
          <w:rFonts w:ascii="宋体" w:hAnsi="宋体" w:eastAsia="宋体" w:cs="宋体"/>
          <w:b/>
          <w:bCs/>
          <w:color w:val="auto"/>
          <w:kern w:val="0"/>
          <w:sz w:val="21"/>
          <w:szCs w:val="21"/>
          <w:lang w:val="en-US" w:eastAsia="zh-CN" w:bidi="ar-SA"/>
        </w:rPr>
      </w:pPr>
      <w:r>
        <w:rPr>
          <w:rFonts w:hint="eastAsia" w:ascii="宋体" w:hAnsi="宋体" w:eastAsia="宋体" w:cs="宋体"/>
          <w:color w:val="auto"/>
          <w:kern w:val="0"/>
          <w:sz w:val="21"/>
          <w:szCs w:val="21"/>
          <w:shd w:val="clear" w:color="auto" w:fill="FFFFFF"/>
          <w:lang w:val="en-US" w:eastAsia="zh-CN" w:bidi="ar-SA"/>
        </w:rPr>
        <w:t xml:space="preserve">     以上材料请各投标单位自行下载。</w:t>
      </w:r>
    </w:p>
    <w:p w14:paraId="10A7DB45">
      <w:pPr>
        <w:widowControl/>
        <w:numPr>
          <w:ilvl w:val="0"/>
          <w:numId w:val="2"/>
        </w:numPr>
        <w:spacing w:before="0" w:beforeAutospacing="0" w:after="0" w:afterAutospacing="0" w:line="360" w:lineRule="auto"/>
        <w:ind w:firstLine="210" w:firstLineChars="100"/>
        <w:jc w:val="left"/>
        <w:rPr>
          <w:rFonts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现场考察及标前答疑会信息：</w:t>
      </w:r>
    </w:p>
    <w:p w14:paraId="26487D5C">
      <w:pPr>
        <w:widowControl/>
        <w:spacing w:before="0" w:beforeAutospacing="0" w:after="0" w:afterAutospacing="0" w:line="360" w:lineRule="auto"/>
        <w:ind w:firstLine="525" w:firstLineChars="250"/>
        <w:jc w:val="left"/>
        <w:rPr>
          <w:rFonts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①投标人如有需要，可自行考察现场。由此产生的费用由投标人自理。</w:t>
      </w:r>
    </w:p>
    <w:p w14:paraId="0A8B7906">
      <w:pPr>
        <w:widowControl/>
        <w:spacing w:before="0" w:beforeAutospacing="0" w:after="0" w:afterAutospacing="0" w:line="360" w:lineRule="auto"/>
        <w:ind w:firstLine="525" w:firstLineChars="250"/>
        <w:jc w:val="left"/>
        <w:rPr>
          <w:rFonts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②该项目不组织集中答疑，投标人如果有疑问，请于</w:t>
      </w:r>
      <w:r>
        <w:rPr>
          <w:rFonts w:hint="eastAsia" w:ascii="宋体" w:hAnsi="宋体" w:eastAsia="宋体" w:cs="宋体"/>
          <w:color w:val="auto"/>
          <w:kern w:val="0"/>
          <w:sz w:val="21"/>
          <w:szCs w:val="21"/>
          <w:highlight w:val="none"/>
          <w:shd w:val="clear" w:color="auto" w:fill="FFFFFF"/>
          <w:lang w:val="en-US" w:eastAsia="zh-CN" w:bidi="ar-SA"/>
        </w:rPr>
        <w:t>2025年7月8日上午9:00前，</w:t>
      </w:r>
      <w:r>
        <w:rPr>
          <w:rFonts w:hint="eastAsia" w:ascii="宋体" w:hAnsi="宋体" w:eastAsia="宋体" w:cs="宋体"/>
          <w:color w:val="auto"/>
          <w:kern w:val="0"/>
          <w:sz w:val="21"/>
          <w:szCs w:val="21"/>
          <w:shd w:val="clear" w:color="auto" w:fill="FFFFFF"/>
          <w:lang w:val="en-US" w:eastAsia="zh-CN" w:bidi="ar-SA"/>
        </w:rPr>
        <w:t xml:space="preserve">将疑问以书面形式并加盖投标人公章送至南京中信工程造价有限公司处，逾期不予受理。    </w:t>
      </w:r>
      <w:r>
        <w:rPr>
          <w:rFonts w:hint="eastAsia" w:ascii="宋体" w:hAnsi="宋体" w:eastAsia="宋体" w:cs="宋体"/>
          <w:color w:val="auto"/>
          <w:kern w:val="0"/>
          <w:sz w:val="21"/>
          <w:szCs w:val="21"/>
          <w:highlight w:val="none"/>
          <w:shd w:val="clear" w:color="auto" w:fill="FFFFFF"/>
          <w:lang w:val="en-US" w:eastAsia="zh-CN" w:bidi="ar-SA"/>
        </w:rPr>
        <w:t>2025年7月2日下</w:t>
      </w:r>
      <w:r>
        <w:rPr>
          <w:rFonts w:hint="eastAsia" w:ascii="宋体" w:hAnsi="宋体" w:eastAsia="宋体" w:cs="宋体"/>
          <w:color w:val="auto"/>
          <w:kern w:val="0"/>
          <w:sz w:val="21"/>
          <w:szCs w:val="21"/>
          <w:shd w:val="clear" w:color="auto" w:fill="FFFFFF"/>
          <w:lang w:val="en-US" w:eastAsia="zh-CN" w:bidi="ar-SA"/>
        </w:rPr>
        <w:t>午17:00前，由招</w:t>
      </w:r>
      <w:bookmarkStart w:id="0" w:name="_GoBack"/>
      <w:bookmarkEnd w:id="0"/>
      <w:r>
        <w:rPr>
          <w:rFonts w:hint="eastAsia" w:ascii="宋体" w:hAnsi="宋体" w:eastAsia="宋体" w:cs="宋体"/>
          <w:color w:val="auto"/>
          <w:kern w:val="0"/>
          <w:sz w:val="21"/>
          <w:szCs w:val="21"/>
          <w:shd w:val="clear" w:color="auto" w:fill="FFFFFF"/>
          <w:lang w:val="en-US" w:eastAsia="zh-CN" w:bidi="ar-SA"/>
        </w:rPr>
        <w:t>标代理以网上澄清的形式统一回复。招标人有权对已发出的招标文件等内容进行必要的澄清，招标人可视具体情况，延长投标截止时间和开标时间。</w:t>
      </w:r>
    </w:p>
    <w:p w14:paraId="0ACB1CC3">
      <w:pPr>
        <w:widowControl/>
        <w:spacing w:before="0" w:beforeAutospacing="0" w:after="0" w:afterAutospacing="0" w:line="360" w:lineRule="auto"/>
        <w:ind w:firstLine="210" w:firstLineChars="100"/>
        <w:jc w:val="left"/>
        <w:rPr>
          <w:rFonts w:hint="default" w:ascii="宋体" w:hAnsi="宋体" w:eastAsia="宋体" w:cs="宋体"/>
          <w:color w:val="auto"/>
          <w:kern w:val="0"/>
          <w:sz w:val="21"/>
          <w:szCs w:val="21"/>
          <w:highlight w:val="none"/>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（3）开</w:t>
      </w:r>
      <w:r>
        <w:rPr>
          <w:rFonts w:hint="eastAsia" w:ascii="宋体" w:hAnsi="宋体" w:eastAsia="宋体" w:cs="宋体"/>
          <w:color w:val="auto"/>
          <w:kern w:val="0"/>
          <w:sz w:val="21"/>
          <w:szCs w:val="21"/>
          <w:highlight w:val="none"/>
          <w:shd w:val="clear" w:color="auto" w:fill="FFFFFF"/>
          <w:lang w:val="en-US" w:eastAsia="zh-CN" w:bidi="ar-SA"/>
        </w:rPr>
        <w:t>标时间：2025年7月7日下午15:30；</w:t>
      </w:r>
    </w:p>
    <w:p w14:paraId="171010FE">
      <w:pPr>
        <w:widowControl/>
        <w:spacing w:before="0" w:beforeAutospacing="0" w:after="0" w:afterAutospacing="0" w:line="360" w:lineRule="auto"/>
        <w:ind w:firstLine="210" w:firstLineChars="100"/>
        <w:jc w:val="left"/>
        <w:rPr>
          <w:rFonts w:ascii="宋体" w:hAnsi="宋体" w:eastAsia="宋体" w:cs="宋体"/>
          <w:color w:val="auto"/>
          <w:kern w:val="0"/>
          <w:sz w:val="21"/>
          <w:szCs w:val="21"/>
          <w:shd w:val="clear" w:color="auto" w:fill="FFFFFF"/>
          <w:lang w:val="en-US" w:eastAsia="zh-CN" w:bidi="ar-SA"/>
        </w:rPr>
      </w:pPr>
      <w:r>
        <w:rPr>
          <w:rFonts w:hint="eastAsia" w:ascii="宋体" w:hAnsi="宋体" w:eastAsia="宋体" w:cs="宋体"/>
          <w:color w:val="auto"/>
          <w:kern w:val="0"/>
          <w:sz w:val="21"/>
          <w:szCs w:val="21"/>
          <w:shd w:val="clear" w:color="auto" w:fill="FFFFFF"/>
          <w:lang w:val="en-US" w:eastAsia="zh-CN" w:bidi="ar-SA"/>
        </w:rPr>
        <w:t>（4）开标地点：南京中信工程造价有限公司开标室（常州市金坛区左邻右里44栋201）。</w:t>
      </w:r>
    </w:p>
    <w:p w14:paraId="1E38F619">
      <w:pPr>
        <w:spacing w:line="360" w:lineRule="auto"/>
        <w:rPr>
          <w:rFonts w:hint="eastAsia" w:ascii="宋体" w:hAnsi="宋体" w:eastAsia="宋体" w:cs="宋体"/>
          <w:b w:val="0"/>
          <w:bCs/>
          <w:color w:val="auto"/>
          <w:kern w:val="0"/>
          <w:szCs w:val="21"/>
        </w:rPr>
      </w:pPr>
      <w:r>
        <w:rPr>
          <w:rFonts w:hint="eastAsia" w:ascii="宋体" w:hAnsi="宋体" w:eastAsia="宋体" w:cs="宋体"/>
          <w:b/>
          <w:color w:val="auto"/>
          <w:kern w:val="0"/>
          <w:szCs w:val="21"/>
        </w:rPr>
        <w:t>7、评标办法：</w:t>
      </w:r>
      <w:r>
        <w:rPr>
          <w:rFonts w:hint="eastAsia" w:ascii="宋体" w:hAnsi="宋体" w:eastAsia="宋体" w:cs="宋体"/>
          <w:b w:val="0"/>
          <w:bCs/>
          <w:color w:val="auto"/>
          <w:kern w:val="0"/>
          <w:szCs w:val="21"/>
          <w:lang w:val="zh-CN"/>
        </w:rPr>
        <w:t>①单因素评标法一，②单因素评标法</w:t>
      </w:r>
      <w:r>
        <w:rPr>
          <w:rFonts w:hint="eastAsia" w:ascii="宋体" w:hAnsi="宋体" w:eastAsia="宋体" w:cs="宋体"/>
          <w:b w:val="0"/>
          <w:bCs/>
          <w:color w:val="auto"/>
          <w:kern w:val="0"/>
          <w:szCs w:val="21"/>
          <w:lang w:val="en-US" w:eastAsia="zh-CN"/>
        </w:rPr>
        <w:t>二</w:t>
      </w:r>
      <w:r>
        <w:rPr>
          <w:rFonts w:hint="eastAsia" w:ascii="宋体" w:hAnsi="宋体" w:eastAsia="宋体" w:cs="宋体"/>
          <w:b w:val="0"/>
          <w:bCs/>
          <w:color w:val="auto"/>
          <w:kern w:val="0"/>
          <w:szCs w:val="21"/>
          <w:lang w:val="zh-CN"/>
        </w:rPr>
        <w:t>（两种办法开标时招标人随机抽取）。如报价相同，则招标人以抽签的方式现场确定中标人。</w:t>
      </w:r>
    </w:p>
    <w:p w14:paraId="54DC3D8E">
      <w:pPr>
        <w:spacing w:line="360" w:lineRule="auto"/>
        <w:rPr>
          <w:rFonts w:hint="eastAsia" w:ascii="宋体" w:hAnsi="宋体" w:eastAsia="宋体" w:cs="宋体"/>
          <w:b w:val="0"/>
          <w:bCs/>
          <w:color w:val="auto"/>
          <w:kern w:val="0"/>
          <w:szCs w:val="21"/>
          <w:lang w:val="zh-CN"/>
        </w:rPr>
      </w:pPr>
      <w:r>
        <w:rPr>
          <w:rFonts w:hint="eastAsia" w:ascii="宋体" w:hAnsi="宋体" w:eastAsia="宋体" w:cs="宋体"/>
          <w:b/>
          <w:color w:val="auto"/>
          <w:kern w:val="0"/>
          <w:szCs w:val="21"/>
        </w:rPr>
        <w:t>8、付款方式：</w:t>
      </w:r>
      <w:r>
        <w:rPr>
          <w:rFonts w:hint="eastAsia" w:ascii="宋体" w:hAnsi="宋体" w:eastAsia="宋体" w:cs="宋体"/>
          <w:b w:val="0"/>
          <w:bCs/>
          <w:color w:val="auto"/>
          <w:kern w:val="0"/>
          <w:szCs w:val="21"/>
          <w:lang w:val="en-US" w:eastAsia="zh-CN"/>
        </w:rPr>
        <w:t>工程竣工验收合格后付至合同价款（扣除暂列金额）的60%，工程竣工验收合格满一年后支付至审定价的97%，质保期期满后付清余款（无息）。</w:t>
      </w:r>
    </w:p>
    <w:p w14:paraId="13F2554F">
      <w:pPr>
        <w:spacing w:line="360" w:lineRule="auto"/>
        <w:rPr>
          <w:rFonts w:ascii="宋体" w:hAnsi="宋体" w:eastAsia="宋体" w:cs="宋体"/>
          <w:bCs/>
          <w:color w:val="auto"/>
          <w:kern w:val="0"/>
          <w:szCs w:val="21"/>
        </w:rPr>
      </w:pPr>
      <w:r>
        <w:rPr>
          <w:rFonts w:hint="eastAsia" w:ascii="宋体" w:hAnsi="宋体" w:eastAsia="宋体" w:cs="宋体"/>
          <w:b/>
          <w:color w:val="auto"/>
          <w:kern w:val="0"/>
          <w:szCs w:val="21"/>
        </w:rPr>
        <w:t>9、招标文件每套售价300.00元/份，售后不退。</w:t>
      </w:r>
      <w:r>
        <w:rPr>
          <w:rFonts w:hint="eastAsia" w:ascii="宋体" w:hAnsi="宋体" w:eastAsia="宋体" w:cs="宋体"/>
          <w:color w:val="auto"/>
          <w:kern w:val="0"/>
          <w:szCs w:val="21"/>
        </w:rPr>
        <w:t>该费用在开标现场递交投标资料的同时</w:t>
      </w:r>
      <w:r>
        <w:rPr>
          <w:rFonts w:hint="eastAsia" w:ascii="宋体" w:hAnsi="宋体" w:eastAsia="宋体" w:cs="宋体"/>
          <w:bCs/>
          <w:color w:val="auto"/>
          <w:kern w:val="0"/>
          <w:szCs w:val="21"/>
        </w:rPr>
        <w:t>以现金方式缴纳，由招标代理统一收取并开具收据。</w:t>
      </w:r>
    </w:p>
    <w:p w14:paraId="1EA3A22B">
      <w:pPr>
        <w:spacing w:line="360" w:lineRule="auto"/>
        <w:rPr>
          <w:rFonts w:ascii="宋体" w:hAnsi="宋体" w:eastAsia="宋体" w:cs="宋体"/>
          <w:bCs/>
          <w:color w:val="auto"/>
          <w:kern w:val="0"/>
          <w:szCs w:val="21"/>
        </w:rPr>
      </w:pPr>
      <w:r>
        <w:rPr>
          <w:rFonts w:hint="eastAsia" w:ascii="宋体" w:hAnsi="宋体" w:eastAsia="宋体" w:cs="宋体"/>
          <w:bCs/>
          <w:color w:val="auto"/>
          <w:kern w:val="0"/>
          <w:szCs w:val="21"/>
        </w:rPr>
        <w:t>10、代理机构：本工程由</w:t>
      </w:r>
      <w:r>
        <w:rPr>
          <w:rFonts w:hint="eastAsia" w:ascii="宋体" w:hAnsi="宋体" w:eastAsia="宋体" w:cs="宋体"/>
          <w:bCs/>
          <w:color w:val="auto"/>
          <w:kern w:val="0"/>
          <w:szCs w:val="21"/>
          <w:lang w:eastAsia="zh-CN"/>
        </w:rPr>
        <w:t>南京中信工程造价有限公司</w:t>
      </w:r>
      <w:r>
        <w:rPr>
          <w:rFonts w:hint="eastAsia" w:ascii="宋体" w:hAnsi="宋体" w:eastAsia="宋体" w:cs="宋体"/>
          <w:bCs/>
          <w:color w:val="auto"/>
          <w:kern w:val="0"/>
          <w:szCs w:val="21"/>
        </w:rPr>
        <w:t>受业主委托具体负责本工程的招标事宜。</w:t>
      </w:r>
    </w:p>
    <w:tbl>
      <w:tblPr>
        <w:tblStyle w:val="2"/>
        <w:tblpPr w:leftFromText="180" w:rightFromText="180" w:vertAnchor="text" w:horzAnchor="page" w:tblpXSpec="center" w:tblpY="45"/>
        <w:tblW w:w="9634" w:type="dxa"/>
        <w:jc w:val="center"/>
        <w:tblLayout w:type="fixed"/>
        <w:tblCellMar>
          <w:top w:w="0" w:type="dxa"/>
          <w:left w:w="108" w:type="dxa"/>
          <w:bottom w:w="0" w:type="dxa"/>
          <w:right w:w="108" w:type="dxa"/>
        </w:tblCellMar>
      </w:tblPr>
      <w:tblGrid>
        <w:gridCol w:w="4853"/>
        <w:gridCol w:w="4781"/>
      </w:tblGrid>
      <w:tr w14:paraId="5C00BA7D">
        <w:tblPrEx>
          <w:tblCellMar>
            <w:top w:w="0" w:type="dxa"/>
            <w:left w:w="108" w:type="dxa"/>
            <w:bottom w:w="0" w:type="dxa"/>
            <w:right w:w="108" w:type="dxa"/>
          </w:tblCellMar>
        </w:tblPrEx>
        <w:trPr>
          <w:trHeight w:val="441" w:hRule="atLeast"/>
          <w:jc w:val="center"/>
        </w:trPr>
        <w:tc>
          <w:tcPr>
            <w:tcW w:w="4853" w:type="dxa"/>
            <w:vAlign w:val="center"/>
          </w:tcPr>
          <w:p w14:paraId="6B9885EC">
            <w:pPr>
              <w:spacing w:line="360" w:lineRule="auto"/>
              <w:rPr>
                <w:rFonts w:hint="eastAsia" w:ascii="宋体" w:hAnsi="宋体" w:eastAsia="宋体" w:cs="宋体"/>
                <w:b/>
                <w:color w:val="auto"/>
                <w:kern w:val="0"/>
                <w:szCs w:val="21"/>
                <w:lang w:eastAsia="zh-CN"/>
              </w:rPr>
            </w:pPr>
            <w:r>
              <w:rPr>
                <w:rFonts w:hint="eastAsia" w:ascii="宋体" w:hAnsi="宋体" w:eastAsia="宋体" w:cs="宋体"/>
                <w:b/>
                <w:color w:val="auto"/>
                <w:kern w:val="0"/>
                <w:szCs w:val="21"/>
              </w:rPr>
              <w:t>招标人：</w:t>
            </w:r>
            <w:r>
              <w:rPr>
                <w:rFonts w:hint="eastAsia" w:ascii="宋体" w:hAnsi="宋体" w:eastAsia="宋体" w:cs="宋体"/>
                <w:b/>
                <w:color w:val="auto"/>
                <w:kern w:val="0"/>
                <w:szCs w:val="21"/>
                <w:lang w:eastAsia="zh-CN"/>
              </w:rPr>
              <w:t>常州市金坛新城实验幼儿园</w:t>
            </w:r>
          </w:p>
        </w:tc>
        <w:tc>
          <w:tcPr>
            <w:tcW w:w="4781" w:type="dxa"/>
            <w:vAlign w:val="center"/>
          </w:tcPr>
          <w:p w14:paraId="2ABB9E95">
            <w:pPr>
              <w:spacing w:line="360" w:lineRule="auto"/>
              <w:rPr>
                <w:rFonts w:hint="default" w:ascii="宋体" w:hAnsi="宋体" w:eastAsia="宋体" w:cs="宋体"/>
                <w:b/>
                <w:color w:val="auto"/>
                <w:kern w:val="0"/>
                <w:szCs w:val="21"/>
                <w:lang w:val="en-US" w:eastAsia="zh-CN"/>
              </w:rPr>
            </w:pPr>
            <w:r>
              <w:rPr>
                <w:rFonts w:hint="eastAsia" w:ascii="宋体" w:hAnsi="宋体" w:eastAsia="宋体" w:cs="宋体"/>
                <w:b/>
                <w:color w:val="auto"/>
                <w:kern w:val="0"/>
                <w:szCs w:val="21"/>
              </w:rPr>
              <w:t>招标代理：</w:t>
            </w:r>
            <w:r>
              <w:rPr>
                <w:rFonts w:hint="eastAsia" w:ascii="宋体" w:hAnsi="宋体" w:eastAsia="宋体" w:cs="宋体"/>
                <w:b/>
                <w:color w:val="auto"/>
                <w:kern w:val="0"/>
                <w:szCs w:val="21"/>
                <w:lang w:val="en-US" w:eastAsia="zh-CN"/>
              </w:rPr>
              <w:t>南京中信工程造价有限公司</w:t>
            </w:r>
          </w:p>
        </w:tc>
      </w:tr>
      <w:tr w14:paraId="4BB5F524">
        <w:tblPrEx>
          <w:tblCellMar>
            <w:top w:w="0" w:type="dxa"/>
            <w:left w:w="108" w:type="dxa"/>
            <w:bottom w:w="0" w:type="dxa"/>
            <w:right w:w="108" w:type="dxa"/>
          </w:tblCellMar>
        </w:tblPrEx>
        <w:trPr>
          <w:trHeight w:val="452" w:hRule="atLeast"/>
          <w:jc w:val="center"/>
        </w:trPr>
        <w:tc>
          <w:tcPr>
            <w:tcW w:w="4853" w:type="dxa"/>
            <w:vAlign w:val="center"/>
          </w:tcPr>
          <w:p w14:paraId="115EB1B3">
            <w:pPr>
              <w:spacing w:line="360" w:lineRule="auto"/>
              <w:rPr>
                <w:rFonts w:hint="default" w:ascii="宋体" w:hAnsi="宋体" w:eastAsia="宋体" w:cs="宋体"/>
                <w:b/>
                <w:color w:val="auto"/>
                <w:kern w:val="0"/>
                <w:szCs w:val="21"/>
                <w:lang w:val="en-US"/>
              </w:rPr>
            </w:pPr>
            <w:r>
              <w:rPr>
                <w:rFonts w:hint="eastAsia" w:ascii="宋体" w:hAnsi="宋体" w:eastAsia="宋体" w:cs="宋体"/>
                <w:b/>
                <w:color w:val="auto"/>
                <w:kern w:val="0"/>
                <w:szCs w:val="21"/>
              </w:rPr>
              <w:t xml:space="preserve">地 </w:t>
            </w:r>
            <w:r>
              <w:rPr>
                <w:rFonts w:hint="eastAsia" w:ascii="宋体" w:hAnsi="宋体" w:eastAsia="宋体" w:cs="宋体"/>
                <w:b/>
                <w:color w:val="auto"/>
                <w:kern w:val="0"/>
                <w:szCs w:val="21"/>
                <w:highlight w:val="none"/>
              </w:rPr>
              <w:t xml:space="preserve"> 址：</w:t>
            </w:r>
            <w:r>
              <w:rPr>
                <w:rFonts w:hint="eastAsia" w:ascii="宋体" w:hAnsi="宋体" w:eastAsia="宋体" w:cs="宋体"/>
                <w:b/>
                <w:color w:val="auto"/>
                <w:kern w:val="0"/>
                <w:szCs w:val="21"/>
                <w:lang w:val="en-US" w:eastAsia="zh-CN"/>
              </w:rPr>
              <w:t>常州市金坛区徐塘路218号</w:t>
            </w:r>
          </w:p>
        </w:tc>
        <w:tc>
          <w:tcPr>
            <w:tcW w:w="4781" w:type="dxa"/>
            <w:vAlign w:val="center"/>
          </w:tcPr>
          <w:p w14:paraId="35A23846">
            <w:pPr>
              <w:spacing w:line="360" w:lineRule="auto"/>
              <w:rPr>
                <w:rFonts w:hint="default" w:ascii="宋体" w:hAnsi="宋体" w:eastAsia="宋体" w:cs="宋体"/>
                <w:b/>
                <w:color w:val="auto"/>
                <w:kern w:val="0"/>
                <w:szCs w:val="21"/>
                <w:lang w:val="en-US" w:eastAsia="zh-CN"/>
              </w:rPr>
            </w:pPr>
            <w:r>
              <w:rPr>
                <w:rFonts w:hint="eastAsia" w:ascii="宋体" w:hAnsi="宋体" w:eastAsia="宋体" w:cs="宋体"/>
                <w:b/>
                <w:color w:val="auto"/>
                <w:kern w:val="0"/>
                <w:szCs w:val="21"/>
              </w:rPr>
              <w:t>地  址：</w:t>
            </w:r>
            <w:r>
              <w:rPr>
                <w:rFonts w:hint="eastAsia" w:ascii="宋体" w:hAnsi="宋体" w:eastAsia="宋体" w:cs="宋体"/>
                <w:b/>
                <w:color w:val="auto"/>
                <w:kern w:val="0"/>
                <w:szCs w:val="21"/>
                <w:lang w:eastAsia="zh-CN"/>
              </w:rPr>
              <w:t>常州市金坛区</w:t>
            </w:r>
            <w:r>
              <w:rPr>
                <w:rFonts w:hint="eastAsia" w:ascii="宋体" w:hAnsi="宋体" w:eastAsia="宋体" w:cs="宋体"/>
                <w:b/>
                <w:color w:val="auto"/>
                <w:kern w:val="0"/>
                <w:szCs w:val="21"/>
                <w:lang w:val="en-US" w:eastAsia="zh-CN"/>
              </w:rPr>
              <w:t>左邻右里44栋201</w:t>
            </w:r>
          </w:p>
        </w:tc>
      </w:tr>
      <w:tr w14:paraId="3E7B4292">
        <w:tblPrEx>
          <w:tblCellMar>
            <w:top w:w="0" w:type="dxa"/>
            <w:left w:w="108" w:type="dxa"/>
            <w:bottom w:w="0" w:type="dxa"/>
            <w:right w:w="108" w:type="dxa"/>
          </w:tblCellMar>
        </w:tblPrEx>
        <w:trPr>
          <w:trHeight w:val="271" w:hRule="atLeast"/>
          <w:jc w:val="center"/>
        </w:trPr>
        <w:tc>
          <w:tcPr>
            <w:tcW w:w="4853" w:type="dxa"/>
            <w:vAlign w:val="center"/>
          </w:tcPr>
          <w:p w14:paraId="4E9D955A">
            <w:pPr>
              <w:spacing w:line="360" w:lineRule="auto"/>
              <w:rPr>
                <w:rFonts w:hint="default" w:ascii="宋体" w:hAnsi="宋体" w:eastAsia="宋体" w:cs="宋体"/>
                <w:b/>
                <w:color w:val="auto"/>
                <w:kern w:val="0"/>
                <w:szCs w:val="21"/>
                <w:lang w:val="en-US" w:eastAsia="zh-CN"/>
              </w:rPr>
            </w:pPr>
            <w:r>
              <w:rPr>
                <w:rFonts w:hint="eastAsia" w:ascii="宋体" w:hAnsi="宋体" w:eastAsia="宋体" w:cs="宋体"/>
                <w:b/>
                <w:color w:val="auto"/>
                <w:kern w:val="0"/>
                <w:szCs w:val="21"/>
              </w:rPr>
              <w:t>联 系 人</w:t>
            </w:r>
            <w:r>
              <w:rPr>
                <w:rFonts w:hint="eastAsia" w:ascii="宋体" w:hAnsi="宋体" w:eastAsia="宋体" w:cs="宋体"/>
                <w:b/>
                <w:color w:val="auto"/>
                <w:kern w:val="0"/>
                <w:szCs w:val="21"/>
                <w:lang w:eastAsia="zh-CN"/>
              </w:rPr>
              <w:t>：</w:t>
            </w:r>
            <w:r>
              <w:rPr>
                <w:rFonts w:hint="eastAsia" w:ascii="宋体" w:hAnsi="宋体" w:eastAsia="宋体" w:cs="宋体"/>
                <w:b/>
                <w:color w:val="auto"/>
                <w:kern w:val="0"/>
                <w:szCs w:val="21"/>
                <w:lang w:val="en-US" w:eastAsia="zh-CN"/>
              </w:rPr>
              <w:t>刘女士</w:t>
            </w:r>
          </w:p>
        </w:tc>
        <w:tc>
          <w:tcPr>
            <w:tcW w:w="4781" w:type="dxa"/>
            <w:vAlign w:val="center"/>
          </w:tcPr>
          <w:p w14:paraId="02C5346C">
            <w:pPr>
              <w:spacing w:line="360" w:lineRule="auto"/>
              <w:rPr>
                <w:rFonts w:hint="default" w:ascii="宋体" w:hAnsi="宋体" w:eastAsia="宋体" w:cs="宋体"/>
                <w:b/>
                <w:color w:val="auto"/>
                <w:kern w:val="0"/>
                <w:szCs w:val="21"/>
                <w:lang w:val="en-US" w:eastAsia="zh-CN"/>
              </w:rPr>
            </w:pPr>
            <w:r>
              <w:rPr>
                <w:rFonts w:hint="eastAsia" w:ascii="宋体" w:hAnsi="宋体" w:eastAsia="宋体" w:cs="宋体"/>
                <w:b/>
                <w:color w:val="auto"/>
                <w:kern w:val="0"/>
                <w:szCs w:val="21"/>
              </w:rPr>
              <w:t>联 系 人：</w:t>
            </w:r>
            <w:r>
              <w:rPr>
                <w:rFonts w:hint="eastAsia" w:ascii="宋体" w:hAnsi="宋体" w:eastAsia="宋体" w:cs="宋体"/>
                <w:b/>
                <w:color w:val="auto"/>
                <w:kern w:val="0"/>
                <w:szCs w:val="21"/>
                <w:lang w:val="en-US" w:eastAsia="zh-CN"/>
              </w:rPr>
              <w:t>郭先生</w:t>
            </w:r>
          </w:p>
        </w:tc>
      </w:tr>
      <w:tr w14:paraId="11EA0528">
        <w:tblPrEx>
          <w:tblCellMar>
            <w:top w:w="0" w:type="dxa"/>
            <w:left w:w="108" w:type="dxa"/>
            <w:bottom w:w="0" w:type="dxa"/>
            <w:right w:w="108" w:type="dxa"/>
          </w:tblCellMar>
        </w:tblPrEx>
        <w:trPr>
          <w:trHeight w:val="271" w:hRule="atLeast"/>
          <w:jc w:val="center"/>
        </w:trPr>
        <w:tc>
          <w:tcPr>
            <w:tcW w:w="4853" w:type="dxa"/>
            <w:vAlign w:val="center"/>
          </w:tcPr>
          <w:p w14:paraId="5D1495F8">
            <w:pPr>
              <w:spacing w:line="360" w:lineRule="auto"/>
              <w:rPr>
                <w:rFonts w:hint="default" w:ascii="宋体" w:hAnsi="宋体" w:eastAsia="宋体" w:cs="宋体"/>
                <w:b/>
                <w:color w:val="auto"/>
                <w:kern w:val="0"/>
                <w:szCs w:val="21"/>
                <w:lang w:val="en-US" w:eastAsia="zh-CN"/>
              </w:rPr>
            </w:pPr>
            <w:r>
              <w:rPr>
                <w:rFonts w:hint="eastAsia" w:ascii="宋体" w:hAnsi="宋体" w:eastAsia="宋体" w:cs="宋体"/>
                <w:b/>
                <w:color w:val="auto"/>
                <w:kern w:val="0"/>
                <w:szCs w:val="21"/>
              </w:rPr>
              <w:t>电    话：</w:t>
            </w:r>
            <w:r>
              <w:rPr>
                <w:rFonts w:hint="eastAsia" w:ascii="宋体" w:hAnsi="宋体" w:eastAsia="宋体" w:cs="宋体"/>
                <w:b/>
                <w:color w:val="auto"/>
                <w:kern w:val="0"/>
                <w:szCs w:val="21"/>
                <w:lang w:val="en-US" w:eastAsia="zh-CN"/>
              </w:rPr>
              <w:t>15306140288</w:t>
            </w:r>
          </w:p>
        </w:tc>
        <w:tc>
          <w:tcPr>
            <w:tcW w:w="4781" w:type="dxa"/>
            <w:vAlign w:val="center"/>
          </w:tcPr>
          <w:p w14:paraId="4238B146">
            <w:pPr>
              <w:spacing w:line="360" w:lineRule="auto"/>
              <w:rPr>
                <w:rFonts w:hint="default" w:ascii="宋体" w:hAnsi="宋体" w:eastAsia="宋体" w:cs="宋体"/>
                <w:b/>
                <w:color w:val="auto"/>
                <w:kern w:val="0"/>
                <w:szCs w:val="21"/>
                <w:lang w:val="en-US" w:eastAsia="zh-CN"/>
              </w:rPr>
            </w:pPr>
            <w:r>
              <w:rPr>
                <w:rFonts w:hint="eastAsia" w:ascii="宋体" w:hAnsi="宋体" w:eastAsia="宋体" w:cs="宋体"/>
                <w:b/>
                <w:color w:val="auto"/>
                <w:kern w:val="0"/>
                <w:szCs w:val="21"/>
              </w:rPr>
              <w:t>电    话：</w:t>
            </w:r>
            <w:r>
              <w:rPr>
                <w:rFonts w:hint="eastAsia" w:ascii="宋体" w:hAnsi="宋体" w:eastAsia="宋体" w:cs="宋体"/>
                <w:b/>
                <w:color w:val="auto"/>
                <w:kern w:val="0"/>
                <w:szCs w:val="21"/>
                <w:lang w:val="en-US" w:eastAsia="zh-CN"/>
              </w:rPr>
              <w:t>13775140022</w:t>
            </w:r>
          </w:p>
        </w:tc>
      </w:tr>
    </w:tbl>
    <w:p w14:paraId="3E93DEDF">
      <w:pPr>
        <w:spacing w:line="360" w:lineRule="auto"/>
        <w:rPr>
          <w:rFonts w:ascii="Times New Roman" w:hAnsi="Times New Roman" w:eastAsia="宋体" w:cs="Times New Roman"/>
          <w:color w:val="auto"/>
        </w:rPr>
      </w:pPr>
    </w:p>
    <w:p w14:paraId="34D81CD8">
      <w:pPr>
        <w:outlineLvl w:val="9"/>
        <w:rPr>
          <w:rFonts w:ascii="Times New Roman" w:hAnsi="Times New Roman" w:eastAsia="宋体" w:cs="Times New Roman"/>
          <w:color w:val="auto"/>
        </w:rPr>
      </w:pPr>
    </w:p>
    <w:p w14:paraId="739AE423">
      <w:pPr>
        <w:rPr>
          <w:rFonts w:ascii="Times New Roman" w:hAnsi="Times New Roman" w:eastAsia="宋体" w:cs="Times New Roman"/>
          <w:color w:val="auto"/>
        </w:rPr>
      </w:pPr>
    </w:p>
    <w:p w14:paraId="318D21A7">
      <w:pPr>
        <w:tabs>
          <w:tab w:val="left" w:pos="720"/>
        </w:tabs>
        <w:spacing w:line="360" w:lineRule="auto"/>
        <w:rPr>
          <w:rFonts w:ascii="宋体" w:hAnsi="宋体" w:eastAsia="宋体" w:cs="宋体"/>
          <w:color w:val="auto"/>
          <w:sz w:val="24"/>
        </w:rPr>
      </w:pPr>
    </w:p>
    <w:p w14:paraId="0B50FA05">
      <w:pPr>
        <w:tabs>
          <w:tab w:val="left" w:pos="720"/>
        </w:tabs>
        <w:spacing w:line="360" w:lineRule="auto"/>
        <w:rPr>
          <w:rFonts w:ascii="宋体" w:hAnsi="宋体" w:eastAsia="宋体" w:cs="宋体"/>
          <w:color w:val="auto"/>
          <w:sz w:val="24"/>
        </w:rPr>
      </w:pPr>
    </w:p>
    <w:p w14:paraId="3DAC9D0E">
      <w:pPr>
        <w:tabs>
          <w:tab w:val="left" w:pos="720"/>
        </w:tabs>
        <w:spacing w:line="360" w:lineRule="auto"/>
        <w:rPr>
          <w:rFonts w:ascii="宋体" w:hAnsi="宋体" w:eastAsia="宋体" w:cs="宋体"/>
          <w:color w:val="auto"/>
          <w:sz w:val="24"/>
        </w:rPr>
      </w:pPr>
    </w:p>
    <w:p w14:paraId="1B8A012F">
      <w:pPr>
        <w:tabs>
          <w:tab w:val="left" w:pos="720"/>
        </w:tabs>
        <w:spacing w:line="360" w:lineRule="auto"/>
        <w:rPr>
          <w:rFonts w:ascii="宋体" w:hAnsi="宋体" w:eastAsia="宋体" w:cs="宋体"/>
          <w:color w:val="auto"/>
          <w:sz w:val="24"/>
        </w:rPr>
      </w:pPr>
    </w:p>
    <w:p w14:paraId="57597F01">
      <w:pPr>
        <w:rPr>
          <w:rFonts w:hint="eastAsia" w:ascii="宋体" w:hAnsi="宋体" w:eastAsia="宋体" w:cs="宋体"/>
          <w:color w:val="auto"/>
          <w:sz w:val="24"/>
        </w:rPr>
      </w:pPr>
    </w:p>
    <w:p w14:paraId="36B2BD0D">
      <w:pPr>
        <w:rPr>
          <w:rFonts w:hint="eastAsia" w:ascii="宋体" w:hAnsi="宋体" w:eastAsia="宋体" w:cs="宋体"/>
          <w:color w:val="auto"/>
          <w:sz w:val="24"/>
        </w:rPr>
      </w:pPr>
    </w:p>
    <w:p w14:paraId="7A15A01E">
      <w:pPr>
        <w:rPr>
          <w:rFonts w:hint="eastAsia" w:ascii="宋体" w:hAnsi="宋体" w:eastAsia="宋体" w:cs="宋体"/>
          <w:color w:val="auto"/>
          <w:sz w:val="24"/>
        </w:rPr>
      </w:pPr>
    </w:p>
    <w:p w14:paraId="42A1F6D2">
      <w:pPr>
        <w:rPr>
          <w:rFonts w:hint="eastAsia" w:ascii="宋体" w:hAnsi="宋体" w:eastAsia="宋体" w:cs="宋体"/>
          <w:color w:val="auto"/>
          <w:sz w:val="24"/>
        </w:rPr>
      </w:pPr>
    </w:p>
    <w:p w14:paraId="43AF27AB">
      <w:pPr>
        <w:rPr>
          <w:rFonts w:hint="eastAsia" w:ascii="宋体" w:hAnsi="宋体" w:eastAsia="宋体" w:cs="宋体"/>
          <w:color w:val="auto"/>
          <w:sz w:val="24"/>
        </w:rPr>
      </w:pPr>
    </w:p>
    <w:p w14:paraId="4C3848E2">
      <w:pPr>
        <w:rPr>
          <w:rFonts w:hint="eastAsia" w:ascii="宋体" w:hAnsi="宋体" w:eastAsia="宋体" w:cs="宋体"/>
          <w:color w:val="auto"/>
          <w:sz w:val="24"/>
        </w:rPr>
      </w:pPr>
    </w:p>
    <w:p w14:paraId="570326FA">
      <w:pPr>
        <w:rPr>
          <w:rFonts w:hint="eastAsia" w:ascii="宋体" w:hAnsi="宋体" w:eastAsia="宋体" w:cs="宋体"/>
          <w:color w:val="auto"/>
          <w:sz w:val="24"/>
        </w:rPr>
      </w:pPr>
    </w:p>
    <w:p w14:paraId="51B04F1E">
      <w:pPr>
        <w:rPr>
          <w:rFonts w:hint="eastAsia" w:ascii="宋体" w:hAnsi="宋体" w:eastAsia="宋体" w:cs="宋体"/>
          <w:color w:val="auto"/>
          <w:sz w:val="24"/>
        </w:rPr>
      </w:pPr>
    </w:p>
    <w:p w14:paraId="38AEC627">
      <w:pPr>
        <w:rPr>
          <w:rFonts w:hint="eastAsia" w:ascii="宋体" w:hAnsi="宋体" w:eastAsia="宋体" w:cs="宋体"/>
          <w:color w:val="auto"/>
          <w:sz w:val="24"/>
        </w:rPr>
      </w:pPr>
    </w:p>
    <w:p w14:paraId="1BCDFF28">
      <w:pPr>
        <w:rPr>
          <w:rFonts w:hint="eastAsia" w:ascii="宋体" w:hAnsi="宋体" w:eastAsia="宋体" w:cs="宋体"/>
          <w:color w:val="auto"/>
          <w:sz w:val="24"/>
        </w:rPr>
      </w:pPr>
    </w:p>
    <w:p w14:paraId="0F1BBAFB">
      <w:pPr>
        <w:rPr>
          <w:rFonts w:hint="eastAsia" w:ascii="宋体" w:hAnsi="宋体" w:eastAsia="宋体" w:cs="宋体"/>
          <w:color w:val="auto"/>
          <w:sz w:val="24"/>
        </w:rPr>
      </w:pPr>
    </w:p>
    <w:p w14:paraId="0064F8F8">
      <w:pPr>
        <w:rPr>
          <w:rFonts w:hint="eastAsia" w:ascii="宋体" w:hAnsi="宋体" w:eastAsia="宋体" w:cs="宋体"/>
          <w:color w:val="auto"/>
          <w:sz w:val="24"/>
        </w:rPr>
      </w:pPr>
    </w:p>
    <w:p w14:paraId="5292652E">
      <w:pPr>
        <w:rPr>
          <w:rFonts w:hint="eastAsia" w:ascii="宋体" w:hAnsi="宋体" w:eastAsia="宋体" w:cs="宋体"/>
          <w:color w:val="auto"/>
          <w:sz w:val="24"/>
        </w:rPr>
      </w:pPr>
    </w:p>
    <w:p w14:paraId="2122AF58">
      <w:pPr>
        <w:rPr>
          <w:rFonts w:hint="eastAsia" w:ascii="宋体" w:hAnsi="宋体" w:eastAsia="宋体" w:cs="宋体"/>
          <w:color w:val="auto"/>
          <w:sz w:val="24"/>
        </w:rPr>
      </w:pPr>
      <w:r>
        <w:rPr>
          <w:rFonts w:hint="eastAsia" w:ascii="宋体" w:hAnsi="宋体" w:eastAsia="宋体" w:cs="宋体"/>
          <w:color w:val="auto"/>
          <w:sz w:val="24"/>
        </w:rPr>
        <w:br w:type="page"/>
      </w:r>
    </w:p>
    <w:p w14:paraId="1D783EF6">
      <w:pPr>
        <w:rPr>
          <w:rFonts w:ascii="宋体" w:hAnsi="宋体" w:eastAsia="宋体" w:cs="宋体"/>
          <w:color w:val="auto"/>
          <w:sz w:val="24"/>
        </w:rPr>
      </w:pPr>
      <w:r>
        <w:rPr>
          <w:rFonts w:hint="eastAsia" w:ascii="宋体" w:hAnsi="宋体" w:eastAsia="宋体" w:cs="宋体"/>
          <w:color w:val="auto"/>
          <w:sz w:val="24"/>
        </w:rPr>
        <w:t>附件1：</w:t>
      </w:r>
    </w:p>
    <w:p w14:paraId="62716177">
      <w:pPr>
        <w:snapToGrid w:val="0"/>
        <w:spacing w:before="312" w:beforeLines="100"/>
        <w:jc w:val="center"/>
        <w:rPr>
          <w:rFonts w:ascii="宋体" w:hAnsi="宋体" w:eastAsia="宋体" w:cs="宋体"/>
          <w:color w:val="auto"/>
          <w:sz w:val="48"/>
          <w:szCs w:val="48"/>
        </w:rPr>
      </w:pPr>
      <w:r>
        <w:rPr>
          <w:rFonts w:hint="eastAsia" w:ascii="宋体" w:hAnsi="宋体" w:eastAsia="宋体" w:cs="宋体"/>
          <w:b/>
          <w:bCs/>
          <w:color w:val="auto"/>
          <w:sz w:val="48"/>
          <w:szCs w:val="48"/>
        </w:rPr>
        <w:t>常州市建设工程投标报名申请书</w:t>
      </w:r>
    </w:p>
    <w:p w14:paraId="4FE93A72">
      <w:pPr>
        <w:adjustRightInd w:val="0"/>
        <w:snapToGrid w:val="0"/>
        <w:spacing w:line="440" w:lineRule="exact"/>
        <w:ind w:left="86" w:leftChars="41" w:firstLine="280" w:firstLineChars="100"/>
        <w:rPr>
          <w:rFonts w:ascii="宋体" w:hAnsi="宋体" w:eastAsia="宋体" w:cs="宋体"/>
          <w:color w:val="auto"/>
          <w:sz w:val="28"/>
          <w:szCs w:val="28"/>
          <w:u w:val="single"/>
        </w:rPr>
      </w:pPr>
    </w:p>
    <w:p w14:paraId="57B9B54F">
      <w:pPr>
        <w:adjustRightInd w:val="0"/>
        <w:snapToGrid w:val="0"/>
        <w:spacing w:line="440" w:lineRule="exact"/>
        <w:rPr>
          <w:rFonts w:ascii="宋体" w:hAnsi="宋体" w:eastAsia="宋体" w:cs="宋体"/>
          <w:color w:val="auto"/>
          <w:szCs w:val="21"/>
          <w:u w:val="single"/>
        </w:rPr>
      </w:pPr>
      <w:r>
        <w:rPr>
          <w:rFonts w:hint="eastAsia" w:ascii="宋体" w:hAnsi="宋体" w:eastAsia="宋体" w:cs="宋体"/>
          <w:color w:val="auto"/>
          <w:szCs w:val="21"/>
          <w:u w:val="single"/>
          <w:lang w:val="en-US" w:eastAsia="zh-CN"/>
        </w:rPr>
        <w:t>常州市金坛新城实验幼儿园</w:t>
      </w:r>
      <w:r>
        <w:rPr>
          <w:rFonts w:hint="eastAsia" w:ascii="宋体" w:hAnsi="宋体" w:eastAsia="宋体" w:cs="宋体"/>
          <w:color w:val="auto"/>
          <w:szCs w:val="21"/>
        </w:rPr>
        <w:t>（招标人）：</w:t>
      </w:r>
    </w:p>
    <w:p w14:paraId="0300D9C8">
      <w:pPr>
        <w:adjustRightInd w:val="0"/>
        <w:snapToGrid w:val="0"/>
        <w:spacing w:line="440" w:lineRule="exact"/>
        <w:ind w:firstLine="420" w:firstLineChars="200"/>
        <w:rPr>
          <w:rFonts w:ascii="宋体" w:hAnsi="宋体" w:eastAsia="宋体" w:cs="宋体"/>
          <w:color w:val="auto"/>
          <w:szCs w:val="21"/>
        </w:rPr>
      </w:pPr>
      <w:r>
        <w:rPr>
          <w:rFonts w:hint="eastAsia" w:ascii="宋体" w:hAnsi="宋体" w:eastAsia="宋体" w:cs="宋体"/>
          <w:color w:val="auto"/>
          <w:szCs w:val="21"/>
        </w:rPr>
        <w:t>根据贵单位</w:t>
      </w:r>
      <w:r>
        <w:rPr>
          <w:rFonts w:hint="eastAsia" w:ascii="宋体" w:hAnsi="宋体" w:eastAsia="宋体" w:cs="宋体"/>
          <w:color w:val="auto"/>
          <w:szCs w:val="21"/>
          <w:u w:val="single"/>
        </w:rPr>
        <w:t xml:space="preserve">       （项目名称）</w:t>
      </w:r>
      <w:r>
        <w:rPr>
          <w:rFonts w:hint="eastAsia" w:ascii="宋体" w:hAnsi="宋体" w:eastAsia="宋体" w:cs="宋体"/>
          <w:color w:val="auto"/>
          <w:szCs w:val="21"/>
        </w:rPr>
        <w:t>的招标公告，我单位拟参与</w:t>
      </w:r>
      <w:r>
        <w:rPr>
          <w:rFonts w:hint="eastAsia" w:ascii="宋体" w:hAnsi="宋体" w:eastAsia="宋体" w:cs="宋体"/>
          <w:color w:val="auto"/>
          <w:szCs w:val="21"/>
          <w:u w:val="single"/>
        </w:rPr>
        <w:t xml:space="preserve">       （项目名称）</w:t>
      </w:r>
      <w:r>
        <w:rPr>
          <w:rFonts w:hint="eastAsia" w:ascii="宋体" w:hAnsi="宋体" w:eastAsia="宋体" w:cs="宋体"/>
          <w:color w:val="auto"/>
          <w:szCs w:val="21"/>
        </w:rPr>
        <w:t>的投标报名，且拟派</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建造师为该招标工程的项目经理，特此申请。</w:t>
      </w:r>
    </w:p>
    <w:p w14:paraId="5196FBEB">
      <w:pPr>
        <w:snapToGrid w:val="0"/>
        <w:spacing w:line="440" w:lineRule="exact"/>
        <w:ind w:firstLine="645"/>
        <w:rPr>
          <w:rFonts w:ascii="宋体" w:hAnsi="宋体" w:eastAsia="宋体" w:cs="宋体"/>
          <w:color w:val="auto"/>
          <w:szCs w:val="21"/>
        </w:rPr>
      </w:pPr>
      <w:r>
        <w:rPr>
          <w:rFonts w:hint="eastAsia" w:ascii="宋体" w:hAnsi="宋体" w:eastAsia="宋体" w:cs="宋体"/>
          <w:color w:val="auto"/>
          <w:szCs w:val="21"/>
        </w:rPr>
        <w:t>我单位基本情况：</w:t>
      </w:r>
    </w:p>
    <w:p w14:paraId="2513C7A8">
      <w:pPr>
        <w:snapToGrid w:val="0"/>
        <w:spacing w:line="440" w:lineRule="exact"/>
        <w:rPr>
          <w:rFonts w:ascii="宋体" w:hAnsi="宋体" w:eastAsia="宋体" w:cs="宋体"/>
          <w:color w:val="auto"/>
          <w:szCs w:val="21"/>
        </w:rPr>
      </w:pPr>
      <w:r>
        <w:rPr>
          <w:rFonts w:hint="eastAsia" w:ascii="宋体" w:hAnsi="宋体" w:eastAsia="宋体" w:cs="宋体"/>
          <w:color w:val="auto"/>
          <w:szCs w:val="21"/>
        </w:rPr>
        <w:t>1、资质类别和等级：</w:t>
      </w:r>
    </w:p>
    <w:p w14:paraId="0992B12F">
      <w:pPr>
        <w:snapToGrid w:val="0"/>
        <w:spacing w:line="440" w:lineRule="exact"/>
        <w:ind w:firstLine="840" w:firstLineChars="400"/>
        <w:rPr>
          <w:rFonts w:ascii="宋体" w:hAnsi="宋体" w:eastAsia="宋体" w:cs="宋体"/>
          <w:color w:val="auto"/>
          <w:szCs w:val="21"/>
        </w:rPr>
      </w:pPr>
    </w:p>
    <w:p w14:paraId="33197385">
      <w:pPr>
        <w:snapToGrid w:val="0"/>
        <w:spacing w:line="440" w:lineRule="exact"/>
        <w:rPr>
          <w:rFonts w:ascii="宋体" w:hAnsi="宋体" w:eastAsia="宋体" w:cs="宋体"/>
          <w:color w:val="auto"/>
          <w:szCs w:val="21"/>
        </w:rPr>
      </w:pPr>
      <w:r>
        <w:rPr>
          <w:rFonts w:hint="eastAsia" w:ascii="宋体" w:hAnsi="宋体" w:eastAsia="宋体" w:cs="宋体"/>
          <w:color w:val="auto"/>
          <w:szCs w:val="21"/>
        </w:rPr>
        <w:t>2、企业业绩、信誉：</w:t>
      </w:r>
    </w:p>
    <w:p w14:paraId="38267B10">
      <w:pPr>
        <w:snapToGrid w:val="0"/>
        <w:spacing w:line="440" w:lineRule="exact"/>
        <w:rPr>
          <w:rFonts w:ascii="宋体" w:hAnsi="宋体" w:eastAsia="宋体" w:cs="宋体"/>
          <w:color w:val="auto"/>
          <w:szCs w:val="21"/>
        </w:rPr>
      </w:pPr>
    </w:p>
    <w:p w14:paraId="6928F285">
      <w:pPr>
        <w:snapToGrid w:val="0"/>
        <w:spacing w:line="440" w:lineRule="exact"/>
        <w:rPr>
          <w:rFonts w:ascii="宋体" w:hAnsi="宋体" w:eastAsia="宋体" w:cs="宋体"/>
          <w:color w:val="auto"/>
          <w:szCs w:val="21"/>
        </w:rPr>
      </w:pPr>
      <w:r>
        <w:rPr>
          <w:rFonts w:hint="eastAsia" w:ascii="宋体" w:hAnsi="宋体" w:eastAsia="宋体" w:cs="宋体"/>
          <w:color w:val="auto"/>
          <w:szCs w:val="21"/>
        </w:rPr>
        <w:t>3、其他说明：</w:t>
      </w:r>
    </w:p>
    <w:p w14:paraId="3D0D5C61">
      <w:pPr>
        <w:snapToGrid w:val="0"/>
        <w:spacing w:line="440" w:lineRule="exact"/>
        <w:ind w:firstLine="315" w:firstLineChars="150"/>
        <w:rPr>
          <w:rFonts w:ascii="宋体" w:hAnsi="宋体" w:eastAsia="宋体" w:cs="宋体"/>
          <w:color w:val="auto"/>
          <w:szCs w:val="21"/>
        </w:rPr>
      </w:pPr>
      <w:r>
        <w:rPr>
          <w:rFonts w:hint="eastAsia" w:ascii="宋体" w:hAnsi="宋体" w:eastAsia="宋体" w:cs="宋体"/>
          <w:color w:val="auto"/>
          <w:szCs w:val="21"/>
        </w:rPr>
        <w:t>（1）我单位及本次报名的建造师均无因违约或重大质量、安全事故而被有关部门暂停投标资格；</w:t>
      </w:r>
    </w:p>
    <w:p w14:paraId="23653378">
      <w:pPr>
        <w:snapToGrid w:val="0"/>
        <w:spacing w:line="440" w:lineRule="exact"/>
        <w:ind w:firstLine="315" w:firstLineChars="150"/>
        <w:rPr>
          <w:rFonts w:ascii="宋体" w:hAnsi="宋体" w:eastAsia="宋体" w:cs="宋体"/>
          <w:color w:val="auto"/>
          <w:szCs w:val="21"/>
        </w:rPr>
      </w:pPr>
      <w:r>
        <w:rPr>
          <w:rFonts w:hint="eastAsia" w:ascii="宋体" w:hAnsi="宋体" w:eastAsia="宋体" w:cs="宋体"/>
          <w:color w:val="auto"/>
          <w:szCs w:val="21"/>
        </w:rPr>
        <w:t>（2）我单位将对本次投标中所有材料的真实性负全部责任，如有不实将承担由此造成的一切后果（本地企业停止一年的投标，外地企业三年内不得参与投标并通告当地建设行政主管部门）；</w:t>
      </w:r>
    </w:p>
    <w:p w14:paraId="6FA25299">
      <w:pPr>
        <w:snapToGrid w:val="0"/>
        <w:spacing w:line="440" w:lineRule="exact"/>
        <w:ind w:firstLine="315" w:firstLineChars="150"/>
        <w:rPr>
          <w:rFonts w:ascii="宋体" w:hAnsi="宋体" w:eastAsia="宋体" w:cs="宋体"/>
          <w:color w:val="auto"/>
          <w:szCs w:val="21"/>
        </w:rPr>
      </w:pPr>
      <w:r>
        <w:rPr>
          <w:rFonts w:hint="eastAsia" w:ascii="宋体" w:hAnsi="宋体" w:eastAsia="宋体" w:cs="宋体"/>
          <w:color w:val="auto"/>
          <w:szCs w:val="21"/>
        </w:rPr>
        <w:t>（3）如果我单位中标，将按有关规定和招标人的要求在规定的时间内办理好工程开工的相关手续。</w:t>
      </w:r>
    </w:p>
    <w:p w14:paraId="2BCC8A74">
      <w:pPr>
        <w:snapToGrid w:val="0"/>
        <w:spacing w:line="440" w:lineRule="exact"/>
        <w:rPr>
          <w:rFonts w:ascii="宋体" w:hAnsi="宋体" w:eastAsia="宋体" w:cs="宋体"/>
          <w:color w:val="auto"/>
          <w:szCs w:val="21"/>
        </w:rPr>
      </w:pPr>
    </w:p>
    <w:p w14:paraId="50E646B1">
      <w:pPr>
        <w:snapToGrid w:val="0"/>
        <w:spacing w:line="440" w:lineRule="exact"/>
        <w:ind w:firstLine="315" w:firstLineChars="150"/>
        <w:rPr>
          <w:rFonts w:ascii="宋体" w:hAnsi="宋体" w:eastAsia="宋体" w:cs="宋体"/>
          <w:color w:val="auto"/>
          <w:szCs w:val="21"/>
        </w:rPr>
      </w:pPr>
      <w:r>
        <w:rPr>
          <w:rFonts w:hint="eastAsia" w:ascii="宋体" w:hAnsi="宋体" w:eastAsia="宋体" w:cs="宋体"/>
          <w:color w:val="auto"/>
          <w:szCs w:val="21"/>
        </w:rPr>
        <w:t xml:space="preserve"> 地址：                   邮编：</w:t>
      </w:r>
    </w:p>
    <w:p w14:paraId="3FB6E57A">
      <w:pPr>
        <w:snapToGrid w:val="0"/>
        <w:spacing w:line="440" w:lineRule="exact"/>
        <w:ind w:firstLine="420" w:firstLineChars="200"/>
        <w:rPr>
          <w:rFonts w:ascii="宋体" w:hAnsi="宋体" w:eastAsia="宋体" w:cs="宋体"/>
          <w:color w:val="auto"/>
          <w:szCs w:val="21"/>
        </w:rPr>
      </w:pPr>
      <w:r>
        <w:rPr>
          <w:rFonts w:hint="eastAsia" w:ascii="宋体" w:hAnsi="宋体" w:eastAsia="宋体" w:cs="宋体"/>
          <w:color w:val="auto"/>
          <w:szCs w:val="21"/>
        </w:rPr>
        <w:t>联系人：                 电话：</w:t>
      </w:r>
    </w:p>
    <w:p w14:paraId="7E7CAF62">
      <w:pPr>
        <w:snapToGrid w:val="0"/>
        <w:spacing w:line="440" w:lineRule="exact"/>
        <w:ind w:firstLine="420" w:firstLineChars="200"/>
        <w:outlineLvl w:val="9"/>
        <w:rPr>
          <w:rFonts w:ascii="宋体" w:hAnsi="宋体" w:eastAsia="宋体" w:cs="宋体"/>
          <w:color w:val="auto"/>
          <w:szCs w:val="21"/>
        </w:rPr>
      </w:pPr>
      <w:r>
        <w:rPr>
          <w:rFonts w:hint="eastAsia" w:ascii="宋体" w:hAnsi="宋体" w:eastAsia="宋体" w:cs="宋体"/>
          <w:color w:val="auto"/>
          <w:szCs w:val="21"/>
        </w:rPr>
        <w:t>E-mail:</w:t>
      </w:r>
    </w:p>
    <w:p w14:paraId="2EA299F7">
      <w:pPr>
        <w:snapToGrid w:val="0"/>
        <w:spacing w:line="440" w:lineRule="exact"/>
        <w:rPr>
          <w:rFonts w:ascii="宋体" w:hAnsi="宋体" w:eastAsia="宋体" w:cs="宋体"/>
          <w:color w:val="auto"/>
          <w:szCs w:val="21"/>
        </w:rPr>
      </w:pPr>
    </w:p>
    <w:p w14:paraId="40514315">
      <w:pPr>
        <w:snapToGrid w:val="0"/>
        <w:spacing w:line="440" w:lineRule="exact"/>
        <w:ind w:firstLine="315" w:firstLineChars="150"/>
        <w:rPr>
          <w:rFonts w:ascii="宋体" w:hAnsi="宋体" w:eastAsia="宋体" w:cs="宋体"/>
          <w:color w:val="auto"/>
          <w:szCs w:val="21"/>
        </w:rPr>
      </w:pPr>
      <w:r>
        <w:rPr>
          <w:rFonts w:hint="eastAsia" w:ascii="宋体" w:hAnsi="宋体" w:eastAsia="宋体" w:cs="宋体"/>
          <w:color w:val="auto"/>
          <w:szCs w:val="21"/>
        </w:rPr>
        <w:t>申请单位名称（公章）</w:t>
      </w:r>
    </w:p>
    <w:p w14:paraId="57647E41">
      <w:pPr>
        <w:snapToGrid w:val="0"/>
        <w:spacing w:line="440" w:lineRule="exact"/>
        <w:ind w:firstLine="3103" w:firstLineChars="1478"/>
        <w:rPr>
          <w:rFonts w:ascii="宋体" w:hAnsi="宋体" w:eastAsia="宋体" w:cs="宋体"/>
          <w:color w:val="auto"/>
          <w:szCs w:val="21"/>
        </w:rPr>
      </w:pPr>
    </w:p>
    <w:p w14:paraId="5663389A">
      <w:pPr>
        <w:snapToGrid w:val="0"/>
        <w:spacing w:line="440" w:lineRule="exact"/>
        <w:ind w:firstLine="315" w:firstLineChars="150"/>
        <w:rPr>
          <w:rFonts w:ascii="宋体" w:hAnsi="宋体" w:eastAsia="宋体" w:cs="宋体"/>
          <w:color w:val="auto"/>
          <w:szCs w:val="21"/>
        </w:rPr>
      </w:pPr>
      <w:r>
        <w:rPr>
          <w:rFonts w:hint="eastAsia" w:ascii="宋体" w:hAnsi="宋体" w:eastAsia="宋体" w:cs="宋体"/>
          <w:color w:val="auto"/>
          <w:szCs w:val="21"/>
        </w:rPr>
        <w:t>企业法定代表人（签章）</w:t>
      </w:r>
    </w:p>
    <w:p w14:paraId="0A00A9DF">
      <w:pPr>
        <w:snapToGrid w:val="0"/>
        <w:spacing w:line="440" w:lineRule="exact"/>
        <w:ind w:firstLine="3103" w:firstLineChars="1478"/>
        <w:rPr>
          <w:rFonts w:ascii="宋体" w:hAnsi="宋体" w:eastAsia="宋体" w:cs="宋体"/>
          <w:color w:val="auto"/>
          <w:szCs w:val="21"/>
        </w:rPr>
      </w:pPr>
    </w:p>
    <w:p w14:paraId="767395DE">
      <w:pPr>
        <w:snapToGrid w:val="0"/>
        <w:spacing w:line="440" w:lineRule="exact"/>
        <w:ind w:firstLine="315" w:firstLineChars="150"/>
        <w:rPr>
          <w:rFonts w:ascii="宋体" w:hAnsi="宋体" w:eastAsia="宋体" w:cs="宋体"/>
          <w:color w:val="auto"/>
          <w:szCs w:val="21"/>
        </w:rPr>
      </w:pPr>
      <w:r>
        <w:rPr>
          <w:rFonts w:hint="eastAsia" w:ascii="宋体" w:hAnsi="宋体" w:eastAsia="宋体" w:cs="宋体"/>
          <w:color w:val="auto"/>
          <w:szCs w:val="21"/>
        </w:rPr>
        <w:t>年   月   日</w:t>
      </w:r>
    </w:p>
    <w:p w14:paraId="1D85A501">
      <w:pPr>
        <w:widowControl/>
        <w:jc w:val="left"/>
        <w:rPr>
          <w:rFonts w:ascii="宋体" w:hAnsi="宋体" w:eastAsia="宋体" w:cs="宋体"/>
          <w:color w:val="auto"/>
          <w:sz w:val="24"/>
        </w:rPr>
      </w:pPr>
      <w:r>
        <w:rPr>
          <w:rFonts w:ascii="宋体" w:hAnsi="宋体" w:eastAsia="宋体" w:cs="宋体"/>
          <w:color w:val="auto"/>
          <w:sz w:val="24"/>
        </w:rPr>
        <w:br w:type="page"/>
      </w:r>
    </w:p>
    <w:p w14:paraId="2017A28B">
      <w:pPr>
        <w:tabs>
          <w:tab w:val="left" w:pos="720"/>
        </w:tabs>
        <w:spacing w:line="360" w:lineRule="auto"/>
        <w:rPr>
          <w:rFonts w:ascii="宋体" w:hAnsi="宋体" w:eastAsia="宋体" w:cs="宋体"/>
          <w:color w:val="auto"/>
          <w:sz w:val="24"/>
        </w:rPr>
      </w:pPr>
      <w:r>
        <w:rPr>
          <w:rFonts w:hint="eastAsia" w:ascii="宋体" w:hAnsi="宋体" w:eastAsia="宋体" w:cs="宋体"/>
          <w:color w:val="auto"/>
          <w:sz w:val="24"/>
        </w:rPr>
        <w:t>附件2：</w:t>
      </w:r>
    </w:p>
    <w:p w14:paraId="2F3C9E3D">
      <w:pPr>
        <w:tabs>
          <w:tab w:val="left" w:pos="720"/>
        </w:tabs>
        <w:spacing w:line="360" w:lineRule="auto"/>
        <w:jc w:val="center"/>
        <w:rPr>
          <w:rFonts w:ascii="宋体" w:hAnsi="宋体" w:eastAsia="宋体" w:cs="宋体"/>
          <w:b/>
          <w:color w:val="auto"/>
          <w:spacing w:val="-12"/>
          <w:kern w:val="0"/>
          <w:sz w:val="28"/>
          <w:szCs w:val="28"/>
        </w:rPr>
      </w:pPr>
      <w:r>
        <w:rPr>
          <w:rFonts w:hint="eastAsia" w:ascii="宋体" w:hAnsi="宋体" w:eastAsia="宋体" w:cs="宋体"/>
          <w:b/>
          <w:color w:val="auto"/>
          <w:spacing w:val="-12"/>
          <w:kern w:val="0"/>
          <w:sz w:val="28"/>
          <w:szCs w:val="28"/>
        </w:rPr>
        <w:t>评分办法</w:t>
      </w:r>
    </w:p>
    <w:p w14:paraId="01B43980">
      <w:pPr>
        <w:spacing w:line="360" w:lineRule="auto"/>
        <w:rPr>
          <w:rFonts w:ascii="宋体" w:hAnsi="宋体" w:eastAsia="宋体" w:cs="Times New Roman"/>
          <w:color w:val="auto"/>
          <w:szCs w:val="21"/>
        </w:rPr>
      </w:pPr>
      <w:r>
        <w:rPr>
          <w:rFonts w:hint="eastAsia" w:ascii="宋体" w:hAnsi="宋体" w:eastAsia="宋体" w:cs="Times New Roman"/>
          <w:b/>
          <w:color w:val="auto"/>
          <w:szCs w:val="21"/>
        </w:rPr>
        <w:t>一、技术标</w:t>
      </w:r>
      <w:r>
        <w:rPr>
          <w:rFonts w:hint="eastAsia" w:ascii="宋体" w:hAnsi="宋体" w:eastAsia="宋体" w:cs="Times New Roman"/>
          <w:color w:val="auto"/>
          <w:szCs w:val="21"/>
        </w:rPr>
        <w:t>:（不需要）</w:t>
      </w:r>
    </w:p>
    <w:p w14:paraId="63846080">
      <w:pPr>
        <w:spacing w:line="360" w:lineRule="auto"/>
        <w:rPr>
          <w:rFonts w:ascii="宋体" w:hAnsi="Times New Roman" w:eastAsia="宋体" w:cs="Times New Roman"/>
          <w:b/>
          <w:color w:val="auto"/>
          <w:szCs w:val="21"/>
        </w:rPr>
      </w:pPr>
      <w:r>
        <w:rPr>
          <w:rFonts w:hint="eastAsia" w:ascii="宋体" w:hAnsi="Times New Roman" w:eastAsia="宋体" w:cs="Times New Roman"/>
          <w:b/>
          <w:bCs/>
          <w:color w:val="auto"/>
          <w:szCs w:val="21"/>
        </w:rPr>
        <w:t>二、商务标评审：</w:t>
      </w:r>
    </w:p>
    <w:p w14:paraId="21FBDD23">
      <w:pPr>
        <w:autoSpaceDE w:val="0"/>
        <w:autoSpaceDN w:val="0"/>
        <w:adjustRightInd w:val="0"/>
        <w:spacing w:line="360" w:lineRule="auto"/>
        <w:ind w:firstLine="420" w:firstLineChars="200"/>
        <w:rPr>
          <w:rFonts w:ascii="宋体" w:hAnsi="Times New Roman" w:eastAsia="宋体" w:cs="Times New Roman"/>
          <w:color w:val="auto"/>
          <w:szCs w:val="21"/>
        </w:rPr>
      </w:pPr>
      <w:r>
        <w:rPr>
          <w:rFonts w:ascii="宋体" w:hAnsi="Times New Roman" w:eastAsia="宋体" w:cs="Times New Roman"/>
          <w:color w:val="auto"/>
          <w:szCs w:val="21"/>
        </w:rPr>
        <w:t xml:space="preserve">1. 符合性审查，确定有效投标报价。 </w:t>
      </w:r>
    </w:p>
    <w:p w14:paraId="6A4DE53C">
      <w:pPr>
        <w:autoSpaceDE w:val="0"/>
        <w:autoSpaceDN w:val="0"/>
        <w:adjustRightInd w:val="0"/>
        <w:spacing w:line="360" w:lineRule="auto"/>
        <w:ind w:firstLine="420" w:firstLineChars="200"/>
        <w:rPr>
          <w:rFonts w:ascii="宋体" w:hAnsi="Times New Roman" w:eastAsia="宋体" w:cs="Times New Roman"/>
          <w:color w:val="auto"/>
          <w:szCs w:val="21"/>
        </w:rPr>
      </w:pPr>
      <w:r>
        <w:rPr>
          <w:rFonts w:ascii="宋体" w:hAnsi="Times New Roman" w:eastAsia="宋体" w:cs="Times New Roman"/>
          <w:color w:val="auto"/>
          <w:szCs w:val="21"/>
        </w:rPr>
        <w:t>2. 凡符合招标文件、招标答疑纪要等有关招标要求，并且在招标控制</w:t>
      </w:r>
      <w:r>
        <w:rPr>
          <w:rFonts w:hint="eastAsia" w:ascii="宋体" w:hAnsi="Times New Roman" w:eastAsia="宋体" w:cs="Times New Roman"/>
          <w:color w:val="auto"/>
          <w:szCs w:val="21"/>
        </w:rPr>
        <w:t>总</w:t>
      </w:r>
      <w:r>
        <w:rPr>
          <w:rFonts w:ascii="宋体" w:hAnsi="Times New Roman" w:eastAsia="宋体" w:cs="Times New Roman"/>
          <w:color w:val="auto"/>
          <w:szCs w:val="21"/>
        </w:rPr>
        <w:t xml:space="preserve">价以下的投标报价均为有效投标报价。高于招标控制价的投标报价为废标。 </w:t>
      </w:r>
    </w:p>
    <w:p w14:paraId="53E9880E">
      <w:pPr>
        <w:tabs>
          <w:tab w:val="left" w:pos="720"/>
        </w:tabs>
        <w:spacing w:line="360" w:lineRule="auto"/>
        <w:ind w:left="-94" w:leftChars="-45" w:firstLine="527" w:firstLineChars="250"/>
        <w:rPr>
          <w:rFonts w:ascii="宋体" w:hAnsi="Times New Roman" w:eastAsia="宋体" w:cs="Times New Roman"/>
          <w:b/>
          <w:color w:val="auto"/>
          <w:szCs w:val="21"/>
        </w:rPr>
      </w:pPr>
      <w:r>
        <w:rPr>
          <w:rFonts w:hint="eastAsia" w:ascii="宋体" w:hAnsi="Times New Roman" w:eastAsia="宋体" w:cs="Times New Roman"/>
          <w:b/>
          <w:color w:val="auto"/>
          <w:szCs w:val="21"/>
        </w:rPr>
        <w:t>3. 投标报价总价得分（100分）：</w:t>
      </w:r>
    </w:p>
    <w:p w14:paraId="2E585EF1">
      <w:pPr>
        <w:spacing w:line="360" w:lineRule="auto"/>
        <w:rPr>
          <w:rFonts w:hint="eastAsia" w:ascii="宋体" w:hAnsi="Times New Roman" w:eastAsia="宋体" w:cs="Times New Roman"/>
          <w:b/>
          <w:bCs/>
          <w:color w:val="auto"/>
          <w:szCs w:val="21"/>
        </w:rPr>
      </w:pPr>
      <w:r>
        <w:rPr>
          <w:rFonts w:hint="eastAsia" w:ascii="宋体" w:hAnsi="Times New Roman" w:eastAsia="宋体" w:cs="Times New Roman"/>
          <w:b/>
          <w:bCs/>
          <w:color w:val="auto"/>
          <w:szCs w:val="21"/>
          <w:lang w:eastAsia="zh-CN"/>
        </w:rPr>
        <w:t>（</w:t>
      </w:r>
      <w:r>
        <w:rPr>
          <w:rFonts w:hint="eastAsia" w:ascii="宋体" w:hAnsi="Times New Roman" w:eastAsia="宋体" w:cs="Times New Roman"/>
          <w:b/>
          <w:bCs/>
          <w:color w:val="auto"/>
          <w:szCs w:val="21"/>
          <w:lang w:val="en-US" w:eastAsia="zh-CN"/>
        </w:rPr>
        <w:t>1</w:t>
      </w:r>
      <w:r>
        <w:rPr>
          <w:rFonts w:hint="eastAsia" w:ascii="宋体" w:hAnsi="Times New Roman" w:eastAsia="宋体" w:cs="Times New Roman"/>
          <w:b/>
          <w:bCs/>
          <w:color w:val="auto"/>
          <w:szCs w:val="21"/>
          <w:lang w:eastAsia="zh-CN"/>
        </w:rPr>
        <w:t>）</w:t>
      </w:r>
      <w:r>
        <w:rPr>
          <w:rFonts w:hint="eastAsia" w:ascii="宋体" w:hAnsi="Times New Roman" w:eastAsia="宋体" w:cs="Times New Roman"/>
          <w:b/>
          <w:bCs/>
          <w:color w:val="auto"/>
          <w:szCs w:val="21"/>
        </w:rPr>
        <w:t>单因素评标法一：</w:t>
      </w:r>
    </w:p>
    <w:p w14:paraId="19173246">
      <w:pPr>
        <w:spacing w:line="360" w:lineRule="auto"/>
        <w:ind w:firstLine="420" w:firstLineChars="200"/>
        <w:rPr>
          <w:rFonts w:hint="eastAsia" w:ascii="宋体" w:hAnsi="Times New Roman" w:eastAsia="宋体" w:cs="Times New Roman"/>
          <w:b/>
          <w:color w:val="auto"/>
          <w:szCs w:val="21"/>
        </w:rPr>
      </w:pPr>
      <w:r>
        <w:rPr>
          <w:rFonts w:hint="eastAsia" w:ascii="宋体" w:hAnsi="Times New Roman" w:eastAsia="宋体" w:cs="Times New Roman"/>
          <w:color w:val="auto"/>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评标基准价=A×K，K 值在清标后由承包人推选的代表随机抽取确定，范围为</w:t>
      </w:r>
      <w:r>
        <w:rPr>
          <w:rFonts w:hint="eastAsia" w:ascii="宋体" w:hAnsi="Times New Roman" w:eastAsia="宋体" w:cs="Times New Roman"/>
          <w:b/>
          <w:color w:val="auto"/>
          <w:szCs w:val="21"/>
        </w:rPr>
        <w:t>95%、96%、97%、98%</w:t>
      </w:r>
      <w:r>
        <w:rPr>
          <w:rFonts w:hint="eastAsia" w:ascii="宋体" w:hAnsi="Times New Roman" w:eastAsia="宋体" w:cs="Times New Roman"/>
          <w:color w:val="auto"/>
          <w:szCs w:val="21"/>
        </w:rPr>
        <w:t>。等于评标基准价得最高分（100分），并以此为基准确定其他承包人的价格得分：投标价格高于该基准价的，每高1%扣 0.9分；投标价格低于该基准价的，每低1%扣0.6分。</w:t>
      </w:r>
      <w:r>
        <w:rPr>
          <w:rFonts w:hint="eastAsia" w:ascii="宋体" w:hAnsi="Times New Roman" w:eastAsia="宋体" w:cs="Times New Roman"/>
          <w:b/>
          <w:color w:val="auto"/>
          <w:szCs w:val="21"/>
        </w:rPr>
        <w:t>[中间用插入法，计算过程及结果保留至小数点后第二位（小数点后第三位四舍五入）]</w:t>
      </w:r>
    </w:p>
    <w:p w14:paraId="703A5F3D">
      <w:pPr>
        <w:keepNext w:val="0"/>
        <w:keepLines w:val="0"/>
        <w:pageBreakBefore w:val="0"/>
        <w:widowControl/>
        <w:kinsoku/>
        <w:wordWrap/>
        <w:overflowPunct/>
        <w:topLinePunct w:val="0"/>
        <w:autoSpaceDE/>
        <w:autoSpaceDN/>
        <w:bidi w:val="0"/>
        <w:spacing w:line="400" w:lineRule="exact"/>
        <w:textAlignment w:val="auto"/>
        <w:rPr>
          <w:rFonts w:hint="eastAsia" w:ascii="宋体" w:hAnsi="Times New Roman" w:eastAsia="宋体" w:cs="Times New Roman"/>
          <w:b/>
          <w:bCs/>
          <w:color w:val="000000"/>
          <w:sz w:val="21"/>
          <w:szCs w:val="21"/>
        </w:rPr>
      </w:pPr>
      <w:r>
        <w:rPr>
          <w:rFonts w:hint="eastAsia" w:ascii="宋体" w:hAnsi="Times New Roman" w:eastAsia="宋体" w:cs="Times New Roman"/>
          <w:b/>
          <w:bCs/>
          <w:color w:val="000000"/>
          <w:sz w:val="21"/>
          <w:szCs w:val="21"/>
          <w:lang w:eastAsia="zh-CN"/>
        </w:rPr>
        <w:t>（</w:t>
      </w:r>
      <w:r>
        <w:rPr>
          <w:rFonts w:hint="eastAsia" w:ascii="宋体" w:hAnsi="Times New Roman" w:eastAsia="宋体" w:cs="Times New Roman"/>
          <w:b/>
          <w:bCs/>
          <w:color w:val="000000"/>
          <w:sz w:val="21"/>
          <w:szCs w:val="21"/>
          <w:lang w:val="en-US" w:eastAsia="zh-CN"/>
        </w:rPr>
        <w:t>2</w:t>
      </w:r>
      <w:r>
        <w:rPr>
          <w:rFonts w:hint="eastAsia" w:ascii="宋体" w:hAnsi="Times New Roman" w:eastAsia="宋体" w:cs="Times New Roman"/>
          <w:b/>
          <w:bCs/>
          <w:color w:val="000000"/>
          <w:sz w:val="21"/>
          <w:szCs w:val="21"/>
          <w:lang w:eastAsia="zh-CN"/>
        </w:rPr>
        <w:t>）</w:t>
      </w:r>
      <w:r>
        <w:rPr>
          <w:rFonts w:hint="eastAsia" w:ascii="宋体" w:hAnsi="Times New Roman" w:eastAsia="宋体" w:cs="Times New Roman"/>
          <w:b/>
          <w:bCs/>
          <w:color w:val="000000"/>
          <w:sz w:val="21"/>
          <w:szCs w:val="21"/>
        </w:rPr>
        <w:t>单因素评标法</w:t>
      </w:r>
      <w:r>
        <w:rPr>
          <w:rFonts w:hint="eastAsia" w:ascii="宋体" w:hAnsi="Times New Roman" w:eastAsia="宋体" w:cs="Times New Roman"/>
          <w:b/>
          <w:bCs/>
          <w:color w:val="000000"/>
          <w:sz w:val="21"/>
          <w:szCs w:val="21"/>
          <w:lang w:eastAsia="zh-CN"/>
        </w:rPr>
        <w:t>二</w:t>
      </w:r>
      <w:r>
        <w:rPr>
          <w:rFonts w:hint="eastAsia" w:ascii="宋体" w:hAnsi="Times New Roman" w:eastAsia="宋体" w:cs="Times New Roman"/>
          <w:b/>
          <w:bCs/>
          <w:color w:val="000000"/>
          <w:sz w:val="21"/>
          <w:szCs w:val="21"/>
        </w:rPr>
        <w:t>：</w:t>
      </w:r>
    </w:p>
    <w:p w14:paraId="6C5ADAA8">
      <w:pPr>
        <w:keepNext w:val="0"/>
        <w:keepLines w:val="0"/>
        <w:pageBreakBefore w:val="0"/>
        <w:widowControl/>
        <w:kinsoku/>
        <w:wordWrap/>
        <w:overflowPunct/>
        <w:topLinePunct w:val="0"/>
        <w:autoSpaceDE/>
        <w:autoSpaceDN/>
        <w:bidi w:val="0"/>
        <w:spacing w:line="400" w:lineRule="exact"/>
        <w:ind w:firstLine="480"/>
        <w:textAlignment w:val="auto"/>
        <w:rPr>
          <w:rFonts w:ascii="宋体" w:hAnsi="Times New Roman" w:eastAsia="宋体" w:cs="Times New Roman"/>
          <w:b/>
          <w:bCs/>
          <w:color w:val="000000"/>
          <w:sz w:val="21"/>
          <w:szCs w:val="21"/>
        </w:rPr>
      </w:pPr>
      <w:r>
        <w:rPr>
          <w:rFonts w:hint="eastAsia" w:ascii="宋体" w:hAnsi="Times New Roman" w:eastAsia="宋体" w:cs="Times New Roman"/>
          <w:color w:val="000000"/>
          <w:sz w:val="21"/>
          <w:szCs w:val="21"/>
        </w:rPr>
        <w:t>以有效投标文件（有效投标文件是指初步评审合格的投标文件）的评标价（评标价是指经澄清、补正和修正算术计算错误的投标报价）算术平均值为A（当有效投标文件≥7家时，去掉最高和最低20%（四舍五入取整）后进行平均；当有效投标文件4—6 家时，剔除最高报价（最高报价相同的均剔除）后进行算术平均；当有效投标文件＜4 家时，则次低报价作为投标平均价A）</w:t>
      </w:r>
      <w:r>
        <w:rPr>
          <w:rFonts w:hint="eastAsia" w:ascii="宋体" w:hAnsi="Times New Roman" w:eastAsia="宋体" w:cs="Times New Roman"/>
          <w:color w:val="000000"/>
          <w:sz w:val="21"/>
          <w:szCs w:val="21"/>
          <w:lang w:eastAsia="zh-CN"/>
        </w:rPr>
        <w:t>，招标控制价为</w:t>
      </w:r>
      <w:r>
        <w:rPr>
          <w:rFonts w:hint="eastAsia" w:ascii="宋体" w:hAnsi="Times New Roman" w:eastAsia="宋体" w:cs="Times New Roman"/>
          <w:color w:val="000000"/>
          <w:sz w:val="21"/>
          <w:szCs w:val="21"/>
          <w:lang w:val="en-US" w:eastAsia="zh-CN"/>
        </w:rPr>
        <w:t>B,则：</w:t>
      </w:r>
      <w:r>
        <w:rPr>
          <w:rFonts w:hint="eastAsia" w:ascii="宋体" w:hAnsi="Times New Roman" w:eastAsia="宋体" w:cs="Times New Roman"/>
          <w:color w:val="000000"/>
          <w:sz w:val="21"/>
          <w:szCs w:val="21"/>
        </w:rPr>
        <w:t>评标基准价=A×K</w:t>
      </w:r>
      <w:r>
        <w:rPr>
          <w:rFonts w:hint="eastAsia" w:ascii="宋体" w:hAnsi="Times New Roman" w:eastAsia="宋体" w:cs="Times New Roman"/>
          <w:color w:val="000000"/>
          <w:sz w:val="21"/>
          <w:szCs w:val="21"/>
          <w:lang w:val="en-US" w:eastAsia="zh-CN"/>
        </w:rPr>
        <w:t>1</w:t>
      </w:r>
      <w:r>
        <w:rPr>
          <w:rFonts w:hint="eastAsia" w:ascii="宋体" w:hAnsi="Times New Roman" w:eastAsia="宋体" w:cs="Times New Roman"/>
          <w:color w:val="000000"/>
          <w:sz w:val="21"/>
          <w:szCs w:val="21"/>
        </w:rPr>
        <w:t>×</w:t>
      </w:r>
      <w:r>
        <w:rPr>
          <w:rFonts w:hint="eastAsia" w:ascii="宋体" w:hAnsi="Times New Roman" w:eastAsia="宋体" w:cs="Times New Roman"/>
          <w:color w:val="000000"/>
          <w:sz w:val="21"/>
          <w:szCs w:val="21"/>
          <w:lang w:val="en-US" w:eastAsia="zh-CN"/>
        </w:rPr>
        <w:t>Q1+B</w:t>
      </w:r>
      <w:r>
        <w:rPr>
          <w:rFonts w:hint="eastAsia" w:ascii="宋体" w:hAnsi="Times New Roman" w:eastAsia="宋体" w:cs="Times New Roman"/>
          <w:color w:val="000000"/>
          <w:sz w:val="21"/>
          <w:szCs w:val="21"/>
        </w:rPr>
        <w:t>×</w:t>
      </w:r>
      <w:r>
        <w:rPr>
          <w:rFonts w:hint="eastAsia" w:ascii="宋体" w:hAnsi="Times New Roman" w:eastAsia="宋体" w:cs="Times New Roman"/>
          <w:color w:val="000000"/>
          <w:sz w:val="21"/>
          <w:szCs w:val="21"/>
          <w:lang w:val="en-US" w:eastAsia="zh-CN"/>
        </w:rPr>
        <w:t>K2</w:t>
      </w:r>
      <w:r>
        <w:rPr>
          <w:rFonts w:hint="eastAsia" w:ascii="宋体" w:hAnsi="Times New Roman" w:eastAsia="宋体" w:cs="Times New Roman"/>
          <w:color w:val="000000"/>
          <w:sz w:val="21"/>
          <w:szCs w:val="21"/>
        </w:rPr>
        <w:t>×</w:t>
      </w:r>
      <w:r>
        <w:rPr>
          <w:rFonts w:hint="eastAsia" w:ascii="宋体" w:hAnsi="Times New Roman" w:eastAsia="宋体" w:cs="Times New Roman"/>
          <w:color w:val="000000"/>
          <w:sz w:val="21"/>
          <w:szCs w:val="21"/>
          <w:lang w:val="en-US" w:eastAsia="zh-CN"/>
        </w:rPr>
        <w:t>Q2</w:t>
      </w:r>
      <w:r>
        <w:rPr>
          <w:rFonts w:hint="eastAsia" w:ascii="宋体" w:hAnsi="Times New Roman" w:eastAsia="宋体" w:cs="Times New Roman"/>
          <w:color w:val="000000"/>
          <w:sz w:val="21"/>
          <w:szCs w:val="21"/>
        </w:rPr>
        <w:t>，</w:t>
      </w:r>
      <w:r>
        <w:rPr>
          <w:rFonts w:hint="eastAsia" w:ascii="宋体" w:hAnsi="Times New Roman" w:eastAsia="宋体" w:cs="Times New Roman"/>
          <w:color w:val="000000"/>
          <w:sz w:val="21"/>
          <w:szCs w:val="21"/>
          <w:lang w:val="en-US" w:eastAsia="zh-CN"/>
        </w:rPr>
        <w:t>Q2=1-Q1,（Q1取值范围为</w:t>
      </w:r>
      <w:r>
        <w:rPr>
          <w:rFonts w:hint="eastAsia" w:ascii="宋体" w:hAnsi="Times New Roman" w:eastAsia="宋体" w:cs="Times New Roman"/>
          <w:b/>
          <w:bCs/>
          <w:color w:val="000000"/>
          <w:sz w:val="21"/>
          <w:szCs w:val="21"/>
          <w:lang w:val="en-US" w:eastAsia="zh-CN"/>
        </w:rPr>
        <w:t>65%、70%、75%、80%、85%</w:t>
      </w:r>
      <w:r>
        <w:rPr>
          <w:rFonts w:hint="eastAsia" w:ascii="宋体" w:hAnsi="Times New Roman" w:eastAsia="宋体" w:cs="Times New Roman"/>
          <w:color w:val="000000"/>
          <w:sz w:val="21"/>
          <w:szCs w:val="21"/>
          <w:lang w:val="en-US" w:eastAsia="zh-CN"/>
        </w:rPr>
        <w:t>；K1的取值范围为</w:t>
      </w:r>
      <w:r>
        <w:rPr>
          <w:rFonts w:hint="eastAsia" w:ascii="宋体" w:hAnsi="Times New Roman" w:eastAsia="宋体" w:cs="Times New Roman"/>
          <w:b/>
          <w:bCs/>
          <w:color w:val="000000"/>
          <w:sz w:val="21"/>
          <w:szCs w:val="21"/>
          <w:lang w:val="en-US" w:eastAsia="zh-CN"/>
        </w:rPr>
        <w:t>95%、96%、97%、98%</w:t>
      </w:r>
      <w:r>
        <w:rPr>
          <w:rFonts w:hint="eastAsia" w:ascii="宋体" w:hAnsi="Times New Roman" w:eastAsia="宋体" w:cs="Times New Roman"/>
          <w:color w:val="000000"/>
          <w:sz w:val="21"/>
          <w:szCs w:val="21"/>
          <w:lang w:val="en-US" w:eastAsia="zh-CN"/>
        </w:rPr>
        <w:t>；Q1、</w:t>
      </w:r>
      <w:r>
        <w:rPr>
          <w:rFonts w:hint="eastAsia" w:ascii="宋体" w:hAnsi="Times New Roman" w:eastAsia="宋体" w:cs="Times New Roman"/>
          <w:color w:val="000000"/>
          <w:sz w:val="21"/>
          <w:szCs w:val="21"/>
        </w:rPr>
        <w:t>K</w:t>
      </w:r>
      <w:r>
        <w:rPr>
          <w:rFonts w:hint="eastAsia" w:ascii="宋体" w:hAnsi="Times New Roman" w:eastAsia="宋体" w:cs="Times New Roman"/>
          <w:color w:val="000000"/>
          <w:sz w:val="21"/>
          <w:szCs w:val="21"/>
          <w:lang w:val="en-US" w:eastAsia="zh-CN"/>
        </w:rPr>
        <w:t>1</w:t>
      </w:r>
      <w:r>
        <w:rPr>
          <w:rFonts w:hint="eastAsia" w:ascii="宋体" w:hAnsi="Times New Roman" w:eastAsia="宋体" w:cs="Times New Roman"/>
          <w:color w:val="000000"/>
          <w:sz w:val="21"/>
          <w:szCs w:val="21"/>
        </w:rPr>
        <w:t xml:space="preserve"> 值在清标后由投标人推选的代表随机抽取确定</w:t>
      </w:r>
      <w:r>
        <w:rPr>
          <w:rFonts w:hint="eastAsia" w:ascii="宋体" w:hAnsi="Times New Roman" w:eastAsia="宋体" w:cs="Times New Roman"/>
          <w:color w:val="000000"/>
          <w:sz w:val="21"/>
          <w:szCs w:val="21"/>
          <w:highlight w:val="none"/>
        </w:rPr>
        <w:t>。</w:t>
      </w:r>
      <w:r>
        <w:rPr>
          <w:rFonts w:hint="eastAsia" w:ascii="宋体" w:hAnsi="Times New Roman" w:eastAsia="宋体" w:cs="Times New Roman"/>
          <w:color w:val="000000"/>
          <w:sz w:val="21"/>
          <w:szCs w:val="21"/>
          <w:highlight w:val="none"/>
          <w:lang w:val="en-US" w:eastAsia="zh-CN"/>
        </w:rPr>
        <w:t>K2的取值范围为</w:t>
      </w:r>
      <w:r>
        <w:rPr>
          <w:rFonts w:hint="eastAsia" w:ascii="宋体" w:hAnsi="Times New Roman" w:eastAsia="宋体" w:cs="Times New Roman"/>
          <w:b/>
          <w:bCs/>
          <w:color w:val="000000"/>
          <w:sz w:val="21"/>
          <w:szCs w:val="21"/>
          <w:highlight w:val="none"/>
          <w:lang w:val="en-US" w:eastAsia="zh-CN"/>
        </w:rPr>
        <w:t>100%</w:t>
      </w:r>
      <w:r>
        <w:rPr>
          <w:rFonts w:hint="eastAsia" w:ascii="宋体" w:hAnsi="Times New Roman" w:eastAsia="宋体" w:cs="Times New Roman"/>
          <w:color w:val="000000"/>
          <w:sz w:val="21"/>
          <w:szCs w:val="21"/>
          <w:highlight w:val="none"/>
          <w:lang w:val="en-US" w:eastAsia="zh-CN"/>
        </w:rPr>
        <w:t>。</w:t>
      </w:r>
      <w:r>
        <w:rPr>
          <w:rFonts w:hint="eastAsia" w:ascii="宋体" w:hAnsi="Times New Roman" w:eastAsia="宋体" w:cs="Times New Roman"/>
          <w:color w:val="000000"/>
          <w:sz w:val="21"/>
          <w:szCs w:val="21"/>
          <w:highlight w:val="none"/>
        </w:rPr>
        <w:t>等</w:t>
      </w:r>
      <w:r>
        <w:rPr>
          <w:rFonts w:hint="eastAsia" w:ascii="宋体" w:hAnsi="Times New Roman" w:eastAsia="宋体" w:cs="Times New Roman"/>
          <w:color w:val="000000"/>
          <w:sz w:val="21"/>
          <w:szCs w:val="21"/>
        </w:rPr>
        <w:t>于评标基准价得最高分（</w:t>
      </w:r>
      <w:r>
        <w:rPr>
          <w:rFonts w:hint="eastAsia" w:ascii="宋体" w:hAnsi="Times New Roman" w:eastAsia="宋体" w:cs="Times New Roman"/>
          <w:color w:val="000000"/>
          <w:sz w:val="21"/>
          <w:szCs w:val="21"/>
          <w:lang w:val="en-US" w:eastAsia="zh-CN"/>
        </w:rPr>
        <w:t>100</w:t>
      </w:r>
      <w:r>
        <w:rPr>
          <w:rFonts w:hint="eastAsia" w:ascii="宋体" w:hAnsi="Times New Roman" w:eastAsia="宋体" w:cs="Times New Roman"/>
          <w:color w:val="000000"/>
          <w:sz w:val="21"/>
          <w:szCs w:val="21"/>
        </w:rPr>
        <w:t>分）</w:t>
      </w:r>
      <w:r>
        <w:rPr>
          <w:rFonts w:hint="eastAsia" w:ascii="宋体" w:hAnsi="Times New Roman" w:eastAsia="宋体" w:cs="Times New Roman"/>
          <w:color w:val="000000"/>
          <w:sz w:val="21"/>
          <w:szCs w:val="21"/>
          <w:lang w:val="en-US" w:eastAsia="zh-CN"/>
        </w:rPr>
        <w:t>）</w:t>
      </w:r>
      <w:r>
        <w:rPr>
          <w:rFonts w:hint="eastAsia" w:ascii="宋体" w:hAnsi="Times New Roman" w:eastAsia="宋体" w:cs="Times New Roman"/>
          <w:color w:val="000000"/>
          <w:sz w:val="21"/>
          <w:szCs w:val="21"/>
        </w:rPr>
        <w:t>，并以此为基准确定其他投标人的价格得分：投标价格高于该基准价的，每高1%扣0.9 分；投标价格低于该基准价的，每低1%扣0.6 分。</w:t>
      </w:r>
      <w:r>
        <w:rPr>
          <w:rFonts w:hint="eastAsia" w:ascii="宋体" w:hAnsi="Times New Roman" w:eastAsia="宋体" w:cs="Times New Roman"/>
          <w:b/>
          <w:bCs/>
          <w:color w:val="000000"/>
          <w:sz w:val="21"/>
          <w:szCs w:val="21"/>
        </w:rPr>
        <w:t>[中间用插入法，计算过程及结果保留至小数点后第二位（小数点后第三位四舍五入）]。</w:t>
      </w:r>
    </w:p>
    <w:p w14:paraId="1BF610D3">
      <w:pPr>
        <w:keepNext/>
        <w:keepLines/>
        <w:pageBreakBefore w:val="0"/>
        <w:widowControl w:val="0"/>
        <w:kinsoku/>
        <w:wordWrap/>
        <w:overflowPunct/>
        <w:topLinePunct w:val="0"/>
        <w:autoSpaceDE/>
        <w:autoSpaceDN/>
        <w:bidi w:val="0"/>
        <w:adjustRightInd/>
        <w:snapToGrid/>
        <w:spacing w:before="137" w:beforeLines="50"/>
        <w:ind w:left="0" w:leftChars="0" w:firstLine="422" w:firstLineChars="200"/>
        <w:textAlignment w:val="auto"/>
        <w:outlineLvl w:val="9"/>
        <w:rPr>
          <w:rFonts w:ascii="Times New Roman" w:hAnsi="Times New Roman" w:eastAsia="宋体" w:cs="Times New Roman"/>
        </w:rPr>
      </w:pPr>
      <w:r>
        <w:rPr>
          <w:rFonts w:hint="eastAsia" w:ascii="宋体" w:hAnsi="Calibri" w:eastAsia="宋体" w:cs="Times New Roman"/>
          <w:b/>
          <w:bCs/>
          <w:snapToGrid/>
          <w:color w:val="000000"/>
          <w:kern w:val="2"/>
          <w:sz w:val="21"/>
          <w:szCs w:val="21"/>
          <w:lang w:val="en-US" w:eastAsia="zh-CN" w:bidi="ar-SA"/>
        </w:rPr>
        <w:t>以上两种评标办法的选择由招标人在清标后随机抽取。</w:t>
      </w:r>
    </w:p>
    <w:p w14:paraId="2358DBD8">
      <w:pPr>
        <w:pageBreakBefore w:val="0"/>
        <w:widowControl w:val="0"/>
        <w:kinsoku/>
        <w:wordWrap/>
        <w:overflowPunct/>
        <w:topLinePunct w:val="0"/>
        <w:autoSpaceDE/>
        <w:autoSpaceDN/>
        <w:bidi w:val="0"/>
        <w:adjustRightInd/>
        <w:snapToGrid/>
        <w:spacing w:before="137" w:beforeLines="50" w:line="360" w:lineRule="auto"/>
        <w:textAlignment w:val="auto"/>
        <w:rPr>
          <w:rFonts w:ascii="宋体" w:hAnsi="Times New Roman" w:eastAsia="宋体" w:cs="Times New Roman"/>
          <w:b/>
          <w:bCs/>
          <w:color w:val="auto"/>
          <w:szCs w:val="21"/>
        </w:rPr>
      </w:pPr>
      <w:r>
        <w:rPr>
          <w:rFonts w:hint="eastAsia" w:ascii="宋体" w:hAnsi="Times New Roman" w:eastAsia="宋体" w:cs="Times New Roman"/>
          <w:b/>
          <w:bCs/>
          <w:color w:val="auto"/>
          <w:szCs w:val="21"/>
        </w:rPr>
        <w:t>三、</w:t>
      </w:r>
      <w:r>
        <w:rPr>
          <w:rFonts w:ascii="宋体" w:hAnsi="Times New Roman" w:eastAsia="宋体" w:cs="Times New Roman"/>
          <w:b/>
          <w:bCs/>
          <w:color w:val="auto"/>
          <w:szCs w:val="21"/>
        </w:rPr>
        <w:t xml:space="preserve">定标 </w:t>
      </w:r>
    </w:p>
    <w:p w14:paraId="5C7C70E2">
      <w:pPr>
        <w:autoSpaceDE w:val="0"/>
        <w:autoSpaceDN w:val="0"/>
        <w:adjustRightInd w:val="0"/>
        <w:spacing w:line="360" w:lineRule="auto"/>
        <w:ind w:firstLine="315" w:firstLineChars="150"/>
        <w:rPr>
          <w:rFonts w:ascii="宋体" w:hAnsi="Times New Roman" w:eastAsia="宋体" w:cs="Times New Roman"/>
          <w:color w:val="auto"/>
          <w:szCs w:val="21"/>
        </w:rPr>
      </w:pPr>
      <w:r>
        <w:rPr>
          <w:rFonts w:ascii="宋体" w:hAnsi="Times New Roman" w:eastAsia="宋体" w:cs="Times New Roman"/>
          <w:color w:val="auto"/>
          <w:szCs w:val="21"/>
        </w:rPr>
        <w:t xml:space="preserve">（1）各投标单位最终得分=投标报价总价得分； </w:t>
      </w:r>
    </w:p>
    <w:p w14:paraId="61EB5CEF">
      <w:pPr>
        <w:autoSpaceDE w:val="0"/>
        <w:autoSpaceDN w:val="0"/>
        <w:adjustRightInd w:val="0"/>
        <w:spacing w:line="360" w:lineRule="auto"/>
        <w:ind w:firstLine="315" w:firstLineChars="150"/>
        <w:rPr>
          <w:rFonts w:ascii="宋体" w:hAnsi="Times New Roman" w:eastAsia="宋体" w:cs="Times New Roman"/>
          <w:color w:val="auto"/>
          <w:szCs w:val="21"/>
        </w:rPr>
      </w:pPr>
      <w:r>
        <w:rPr>
          <w:rFonts w:ascii="宋体" w:hAnsi="Times New Roman" w:eastAsia="宋体" w:cs="Times New Roman"/>
          <w:color w:val="auto"/>
          <w:szCs w:val="21"/>
        </w:rPr>
        <w:t xml:space="preserve">（2）在所有有效投标文件中得分最高的投标单位为第一中标候选人，其他依次为第二、三中标候选人。 </w:t>
      </w:r>
    </w:p>
    <w:p w14:paraId="2A726C3A">
      <w:pPr>
        <w:tabs>
          <w:tab w:val="left" w:pos="720"/>
        </w:tabs>
        <w:spacing w:line="360" w:lineRule="auto"/>
        <w:ind w:left="-94" w:leftChars="-45" w:firstLine="420" w:firstLineChars="200"/>
        <w:rPr>
          <w:rFonts w:ascii="宋体" w:hAnsi="Times New Roman" w:eastAsia="宋体" w:cs="Times New Roman"/>
          <w:b/>
          <w:bCs/>
          <w:color w:val="auto"/>
          <w:szCs w:val="21"/>
        </w:rPr>
      </w:pPr>
      <w:r>
        <w:rPr>
          <w:rFonts w:ascii="宋体" w:hAnsi="Times New Roman" w:eastAsia="宋体" w:cs="Times New Roman"/>
          <w:color w:val="auto"/>
          <w:szCs w:val="21"/>
        </w:rPr>
        <w:t>（3）如有两家或两家以上投标单位得分相同且为最高分，则确定投标报价低的单位为第一中标候选人</w:t>
      </w:r>
      <w:r>
        <w:rPr>
          <w:rFonts w:hint="eastAsia" w:ascii="宋体" w:hAnsi="Times New Roman" w:eastAsia="宋体" w:cs="Times New Roman"/>
          <w:color w:val="auto"/>
          <w:szCs w:val="21"/>
        </w:rPr>
        <w:t>，若报价也相同，则按照送达标书签到的顺序抽签确定第一中标候选人</w:t>
      </w:r>
      <w:r>
        <w:rPr>
          <w:rFonts w:ascii="宋体" w:hAnsi="Times New Roman" w:eastAsia="宋体" w:cs="Times New Roman"/>
          <w:color w:val="auto"/>
          <w:szCs w:val="21"/>
        </w:rPr>
        <w:t>。</w:t>
      </w:r>
    </w:p>
    <w:p w14:paraId="658849DE">
      <w:pPr>
        <w:spacing w:line="360" w:lineRule="auto"/>
        <w:rPr>
          <w:rFonts w:ascii="宋体" w:hAnsi="Times New Roman" w:eastAsia="宋体" w:cs="Times New Roman"/>
          <w:b/>
          <w:bCs/>
          <w:color w:val="auto"/>
          <w:szCs w:val="21"/>
        </w:rPr>
      </w:pPr>
      <w:r>
        <w:rPr>
          <w:rFonts w:hint="eastAsia" w:ascii="宋体" w:hAnsi="Times New Roman" w:eastAsia="宋体" w:cs="Times New Roman"/>
          <w:b/>
          <w:bCs/>
          <w:color w:val="auto"/>
          <w:szCs w:val="21"/>
        </w:rPr>
        <w:t>注：</w:t>
      </w:r>
      <w:r>
        <w:rPr>
          <w:rFonts w:ascii="宋体" w:hAnsi="Times New Roman" w:eastAsia="宋体" w:cs="Times New Roman"/>
          <w:b/>
          <w:bCs/>
          <w:color w:val="auto"/>
          <w:szCs w:val="21"/>
        </w:rPr>
        <w:t>开标、评标、定标流程</w:t>
      </w:r>
    </w:p>
    <w:p w14:paraId="1A1FFA39">
      <w:pPr>
        <w:spacing w:line="360" w:lineRule="auto"/>
        <w:rPr>
          <w:rFonts w:ascii="宋体" w:hAnsi="Times New Roman" w:eastAsia="宋体" w:cs="Times New Roman"/>
          <w:b/>
          <w:color w:val="auto"/>
          <w:szCs w:val="21"/>
        </w:rPr>
      </w:pPr>
      <w:r>
        <w:rPr>
          <w:rFonts w:hint="eastAsia" w:ascii="宋体" w:hAnsi="Times New Roman" w:eastAsia="宋体" w:cs="Times New Roman"/>
          <w:b/>
          <w:bCs/>
          <w:color w:val="auto"/>
          <w:szCs w:val="21"/>
        </w:rPr>
        <w:t xml:space="preserve">   </w:t>
      </w:r>
      <w:r>
        <w:rPr>
          <w:rFonts w:hint="eastAsia" w:ascii="宋体" w:hAnsi="Times New Roman" w:eastAsia="宋体" w:cs="Times New Roman"/>
          <w:b/>
          <w:bCs/>
          <w:color w:val="auto"/>
          <w:szCs w:val="21"/>
          <w:lang w:val="en-US" w:eastAsia="zh-CN"/>
        </w:rPr>
        <w:t xml:space="preserve"> </w:t>
      </w:r>
      <w:r>
        <w:rPr>
          <w:rFonts w:hint="eastAsia" w:ascii="宋体" w:hAnsi="Times New Roman" w:eastAsia="宋体" w:cs="Times New Roman"/>
          <w:b w:val="0"/>
          <w:bCs w:val="0"/>
          <w:color w:val="auto"/>
          <w:szCs w:val="21"/>
        </w:rPr>
        <w:t>投标人员</w:t>
      </w:r>
      <w:r>
        <w:rPr>
          <w:rFonts w:ascii="宋体" w:hAnsi="Times New Roman" w:eastAsia="宋体" w:cs="Times New Roman"/>
          <w:color w:val="auto"/>
          <w:szCs w:val="21"/>
        </w:rPr>
        <w:t>身份核验--投标文件密封检查--投标文件唱标--资格审查、清标--评分办法及相应系数抽取--定标</w:t>
      </w:r>
      <w:r>
        <w:rPr>
          <w:rFonts w:hint="eastAsia" w:ascii="宋体" w:hAnsi="Times New Roman" w:eastAsia="宋体" w:cs="Times New Roman"/>
          <w:color w:val="auto"/>
          <w:szCs w:val="21"/>
        </w:rPr>
        <w:t>。</w:t>
      </w:r>
    </w:p>
    <w:p w14:paraId="6E13F8D3">
      <w:pPr>
        <w:widowControl w:val="0"/>
        <w:autoSpaceDE w:val="0"/>
        <w:autoSpaceDN w:val="0"/>
        <w:adjustRightInd w:val="0"/>
        <w:spacing w:line="360" w:lineRule="auto"/>
        <w:rPr>
          <w:rFonts w:ascii="宋体" w:hAnsi="Calibri" w:eastAsia="宋体" w:cs="宋体"/>
          <w:color w:val="auto"/>
          <w:sz w:val="21"/>
          <w:szCs w:val="21"/>
          <w:lang w:val="en-US" w:eastAsia="zh-CN" w:bidi="ar-SA"/>
        </w:rPr>
      </w:pPr>
      <w:r>
        <w:rPr>
          <w:rFonts w:ascii="宋体" w:hAnsi="Calibri" w:eastAsia="宋体" w:cs="Times New Roman"/>
          <w:b/>
          <w:color w:val="auto"/>
          <w:sz w:val="21"/>
          <w:szCs w:val="21"/>
          <w:lang w:val="en-US" w:eastAsia="zh-CN" w:bidi="ar-SA"/>
        </w:rPr>
        <w:t>提醒：</w:t>
      </w:r>
    </w:p>
    <w:p w14:paraId="68FE13CE">
      <w:pPr>
        <w:spacing w:line="360" w:lineRule="auto"/>
        <w:ind w:firstLine="422" w:firstLineChars="200"/>
        <w:rPr>
          <w:rFonts w:ascii="宋体" w:hAnsi="Times New Roman" w:eastAsia="宋体" w:cs="Times New Roman"/>
          <w:b/>
          <w:color w:val="auto"/>
          <w:szCs w:val="21"/>
        </w:rPr>
      </w:pPr>
      <w:r>
        <w:rPr>
          <w:rFonts w:hint="eastAsia" w:ascii="宋体" w:hAnsi="Times New Roman" w:eastAsia="宋体" w:cs="Times New Roman"/>
          <w:b/>
          <w:color w:val="auto"/>
          <w:szCs w:val="21"/>
        </w:rPr>
        <w:t>1、</w:t>
      </w:r>
      <w:r>
        <w:rPr>
          <w:rFonts w:ascii="宋体" w:hAnsi="Times New Roman" w:eastAsia="宋体" w:cs="Times New Roman"/>
          <w:b/>
          <w:color w:val="auto"/>
          <w:szCs w:val="21"/>
        </w:rPr>
        <w:t xml:space="preserve">凡涉及投标单位无故离开开标会议室导致其未参加评分办法及相应系数抽取此类质疑等一概不予受理。 </w:t>
      </w:r>
    </w:p>
    <w:p w14:paraId="3132CD5B">
      <w:pPr>
        <w:spacing w:line="360" w:lineRule="auto"/>
        <w:ind w:firstLine="422" w:firstLineChars="200"/>
        <w:rPr>
          <w:rFonts w:ascii="宋体" w:hAnsi="Times New Roman" w:eastAsia="宋体" w:cs="Times New Roman"/>
          <w:b/>
          <w:color w:val="auto"/>
          <w:szCs w:val="21"/>
        </w:rPr>
      </w:pPr>
      <w:r>
        <w:rPr>
          <w:rFonts w:hint="eastAsia" w:ascii="宋体" w:hAnsi="Times New Roman" w:eastAsia="宋体" w:cs="Times New Roman"/>
          <w:b/>
          <w:color w:val="auto"/>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hAnsi="Times New Roman" w:eastAsia="宋体" w:cs="Times New Roman"/>
          <w:b/>
          <w:color w:val="auto"/>
          <w:szCs w:val="21"/>
        </w:rPr>
        <w:t>。</w:t>
      </w:r>
      <w:r>
        <w:rPr>
          <w:rFonts w:hint="eastAsia" w:ascii="宋体" w:hAnsi="Times New Roman" w:eastAsia="宋体" w:cs="Times New Roman"/>
          <w:b/>
          <w:color w:val="auto"/>
          <w:szCs w:val="21"/>
        </w:rPr>
        <w:t>进入评标入围环节的承包人全部进入后续评标程序。</w:t>
      </w:r>
    </w:p>
    <w:p w14:paraId="57104893">
      <w:pPr>
        <w:spacing w:line="360" w:lineRule="auto"/>
        <w:ind w:firstLine="422" w:firstLineChars="200"/>
        <w:rPr>
          <w:rFonts w:ascii="Times New Roman" w:hAnsi="Times New Roman" w:eastAsia="宋体" w:cs="Times New Roman"/>
          <w:color w:val="auto"/>
        </w:rPr>
      </w:pPr>
      <w:r>
        <w:rPr>
          <w:rFonts w:hint="eastAsia" w:ascii="宋体" w:hAnsi="Times New Roman" w:eastAsia="宋体" w:cs="Times New Roman"/>
          <w:b/>
          <w:color w:val="auto"/>
          <w:szCs w:val="21"/>
        </w:rPr>
        <w:t>3、评标结束后，无论是否出现招投标当事人异议、投诉以及评委评审和计算错误情形，评标基准价均不重新计算。</w:t>
      </w:r>
    </w:p>
    <w:p w14:paraId="14359A64">
      <w:pPr>
        <w:rPr>
          <w:rFonts w:ascii="Times New Roman" w:hAnsi="Times New Roman" w:eastAsia="宋体" w:cs="Times New Roman"/>
          <w:color w:val="auto"/>
        </w:rPr>
      </w:pPr>
    </w:p>
    <w:p w14:paraId="723C868F"/>
    <w:sectPr>
      <w:headerReference r:id="rId3" w:type="default"/>
      <w:footerReference r:id="rId4" w:type="default"/>
      <w:pgSz w:w="11906" w:h="16838"/>
      <w:pgMar w:top="1304" w:right="1684" w:bottom="964" w:left="1684" w:header="851" w:footer="61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274D6">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9765D7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fldChar w:fldCharType="begin"/>
                          </w:r>
                          <w:r>
                            <w:rPr>
                              <w:rFonts w:hint="eastAsia" w:ascii="Times New Roman" w:hAnsi="Times New Roman" w:eastAsia="宋体" w:cs="Times New Roman"/>
                              <w:kern w:val="2"/>
                              <w:sz w:val="18"/>
                              <w:szCs w:val="18"/>
                              <w:lang w:val="en-US" w:eastAsia="zh-CN" w:bidi="ar-SA"/>
                            </w:rPr>
                            <w:instrText xml:space="preserve"> PAGE  \* MERGEFORMAT </w:instrText>
                          </w:r>
                          <w:r>
                            <w:rPr>
                              <w:rFonts w:hint="eastAsia"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3</w:t>
                          </w:r>
                          <w:r>
                            <w:rPr>
                              <w:rFonts w:hint="eastAsia" w:ascii="Times New Roman" w:hAnsi="Times New Roman" w:eastAsia="宋体" w:cs="Times New Roman"/>
                              <w:kern w:val="2"/>
                              <w:sz w:val="18"/>
                              <w:szCs w:val="18"/>
                              <w:lang w:val="en-US" w:eastAsia="zh-CN" w:bidi="ar-S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14:paraId="69765D7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fldChar w:fldCharType="begin"/>
                    </w:r>
                    <w:r>
                      <w:rPr>
                        <w:rFonts w:hint="eastAsia" w:ascii="Times New Roman" w:hAnsi="Times New Roman" w:eastAsia="宋体" w:cs="Times New Roman"/>
                        <w:kern w:val="2"/>
                        <w:sz w:val="18"/>
                        <w:szCs w:val="18"/>
                        <w:lang w:val="en-US" w:eastAsia="zh-CN" w:bidi="ar-SA"/>
                      </w:rPr>
                      <w:instrText xml:space="preserve"> PAGE  \* MERGEFORMAT </w:instrText>
                    </w:r>
                    <w:r>
                      <w:rPr>
                        <w:rFonts w:hint="eastAsia"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3</w:t>
                    </w:r>
                    <w:r>
                      <w:rPr>
                        <w:rFonts w:hint="eastAsia" w:ascii="Times New Roman" w:hAnsi="Times New Roman" w:eastAsia="宋体" w:cs="Times New Roman"/>
                        <w:kern w:val="2"/>
                        <w:sz w:val="18"/>
                        <w:szCs w:val="18"/>
                        <w:lang w:val="en-US" w:eastAsia="zh-CN" w:bidi="ar-S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510C3">
    <w:pPr>
      <w:widowControl w:val="0"/>
      <w:pBdr>
        <w:bottom w:val="none" w:color="auto" w:sz="0" w:space="0"/>
      </w:pBdr>
      <w:tabs>
        <w:tab w:val="center" w:pos="4153"/>
        <w:tab w:val="right" w:pos="8306"/>
      </w:tabs>
      <w:snapToGrid w:val="0"/>
      <w:jc w:val="center"/>
      <w:rPr>
        <w:rFonts w:ascii="Times New Roman" w:hAnsi="Times New Roman" w:eastAsia="宋体" w:cs="Times New Roman"/>
        <w:kern w:val="2"/>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00A3C1"/>
    <w:multiLevelType w:val="singleLevel"/>
    <w:tmpl w:val="CB00A3C1"/>
    <w:lvl w:ilvl="0" w:tentative="0">
      <w:start w:val="2"/>
      <w:numFmt w:val="decimal"/>
      <w:suff w:val="nothing"/>
      <w:lvlText w:val="（%1）"/>
      <w:lvlJc w:val="left"/>
    </w:lvl>
  </w:abstractNum>
  <w:abstractNum w:abstractNumId="1">
    <w:nsid w:val="F3633526"/>
    <w:multiLevelType w:val="singleLevel"/>
    <w:tmpl w:val="F3633526"/>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01150E"/>
    <w:rsid w:val="01AF4E85"/>
    <w:rsid w:val="0994152E"/>
    <w:rsid w:val="0C943AA2"/>
    <w:rsid w:val="0F892111"/>
    <w:rsid w:val="10297868"/>
    <w:rsid w:val="15F829AC"/>
    <w:rsid w:val="1E1C08B9"/>
    <w:rsid w:val="1EAD731E"/>
    <w:rsid w:val="206443CF"/>
    <w:rsid w:val="20E24984"/>
    <w:rsid w:val="21CB18BC"/>
    <w:rsid w:val="295201CD"/>
    <w:rsid w:val="2B700A88"/>
    <w:rsid w:val="306727B0"/>
    <w:rsid w:val="3101150E"/>
    <w:rsid w:val="35577297"/>
    <w:rsid w:val="36DE12F2"/>
    <w:rsid w:val="41994793"/>
    <w:rsid w:val="44757DE0"/>
    <w:rsid w:val="4C6D0CF6"/>
    <w:rsid w:val="4CCA7A7D"/>
    <w:rsid w:val="4E630A8E"/>
    <w:rsid w:val="5E2A6A47"/>
    <w:rsid w:val="65652A5B"/>
    <w:rsid w:val="6BC2205C"/>
    <w:rsid w:val="6BCC55E2"/>
    <w:rsid w:val="71973F9C"/>
    <w:rsid w:val="72133F6A"/>
    <w:rsid w:val="76E25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3580</Words>
  <Characters>3791</Characters>
  <Lines>0</Lines>
  <Paragraphs>0</Paragraphs>
  <TotalTime>18</TotalTime>
  <ScaleCrop>false</ScaleCrop>
  <LinksUpToDate>false</LinksUpToDate>
  <CharactersWithSpaces>3954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2025-01-13T08:40:00Z</dcterms:created>
  <dc:creator>轻风细雨</dc:creator>
  <cp:lastModifiedBy>sun.</cp:lastModifiedBy>
  <dcterms:modified xsi:type="dcterms:W3CDTF">2025-06-25T08:10:44Z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69F949D791EB442E91AB6D48CEF67FE1_11</vt:lpwstr>
  </property>
  <property fmtid="{D5CDD505-2E9C-101B-9397-08002B2CF9AE}" pid="4" name="KSOTemplateDocerSaveRecord">
    <vt:lpwstr>eyJoZGlkIjoiYzc3MGY3ODQzODQ1OTYxNGM1ZWVhMjIzMzAwMDNlMTIiLCJ1c2VySWQiOiIzNjkzNjczNTUifQ==</vt:lpwstr>
  </property>
</Properties>
</file>