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D17D1">
      <w:pPr>
        <w:adjustRightInd w:val="0"/>
        <w:snapToGrid w:val="0"/>
        <w:spacing w:line="360" w:lineRule="auto"/>
        <w:jc w:val="center"/>
        <w:rPr>
          <w:rFonts w:ascii="宋体" w:hAnsi="宋体" w:eastAsia="宋体" w:cs="Times New Roman"/>
          <w:b/>
          <w:color w:val="auto"/>
          <w:spacing w:val="57"/>
          <w:sz w:val="84"/>
          <w:szCs w:val="22"/>
        </w:rPr>
      </w:pPr>
      <w:r>
        <w:rPr>
          <w:rFonts w:hint="eastAsia" w:ascii="宋体" w:hAnsi="宋体" w:eastAsia="宋体" w:cs="Times New Roman"/>
          <w:b/>
          <w:color w:val="auto"/>
          <w:spacing w:val="57"/>
          <w:sz w:val="84"/>
          <w:szCs w:val="22"/>
        </w:rPr>
        <w:t xml:space="preserve"> </w:t>
      </w:r>
    </w:p>
    <w:p w14:paraId="740B195E">
      <w:pPr>
        <w:adjustRightInd w:val="0"/>
        <w:snapToGrid w:val="0"/>
        <w:spacing w:line="360" w:lineRule="auto"/>
        <w:jc w:val="center"/>
        <w:rPr>
          <w:rFonts w:ascii="宋体" w:hAnsi="宋体" w:eastAsia="宋体" w:cs="Times New Roman"/>
          <w:b/>
          <w:color w:val="auto"/>
          <w:spacing w:val="57"/>
          <w:sz w:val="84"/>
          <w:szCs w:val="22"/>
        </w:rPr>
      </w:pPr>
      <w:r>
        <w:rPr>
          <w:rFonts w:hint="eastAsia" w:ascii="宋体" w:hAnsi="宋体" w:eastAsia="宋体" w:cs="Times New Roman"/>
          <w:b/>
          <w:color w:val="auto"/>
          <w:spacing w:val="57"/>
          <w:sz w:val="84"/>
          <w:szCs w:val="22"/>
        </w:rPr>
        <w:t>金坛区建设工程</w:t>
      </w:r>
    </w:p>
    <w:p w14:paraId="706D536A">
      <w:pPr>
        <w:adjustRightInd w:val="0"/>
        <w:snapToGrid w:val="0"/>
        <w:spacing w:line="360" w:lineRule="auto"/>
        <w:jc w:val="center"/>
        <w:rPr>
          <w:rFonts w:ascii="宋体" w:hAnsi="宋体" w:eastAsia="宋体" w:cs="Times New Roman"/>
          <w:b/>
          <w:color w:val="auto"/>
          <w:spacing w:val="57"/>
          <w:sz w:val="84"/>
        </w:rPr>
      </w:pPr>
      <w:r>
        <w:rPr>
          <w:rFonts w:hint="eastAsia" w:ascii="宋体" w:hAnsi="宋体" w:eastAsia="宋体" w:cs="Times New Roman"/>
          <w:b/>
          <w:color w:val="auto"/>
          <w:spacing w:val="57"/>
          <w:sz w:val="84"/>
          <w:szCs w:val="22"/>
        </w:rPr>
        <w:t>施工</w:t>
      </w:r>
      <w:r>
        <w:rPr>
          <w:rFonts w:hint="eastAsia" w:ascii="宋体" w:hAnsi="宋体" w:eastAsia="宋体" w:cs="Times New Roman"/>
          <w:b/>
          <w:color w:val="auto"/>
          <w:spacing w:val="57"/>
          <w:sz w:val="84"/>
        </w:rPr>
        <w:t>招标文件</w:t>
      </w:r>
    </w:p>
    <w:p w14:paraId="4E2335B5">
      <w:pPr>
        <w:ind w:firstLine="0" w:firstLineChars="0"/>
        <w:outlineLvl w:val="9"/>
        <w:rPr>
          <w:rFonts w:ascii="Calibri" w:hAnsi="Calibri" w:eastAsia="宋体" w:cs="Times New Roman"/>
          <w:color w:val="auto"/>
        </w:rPr>
      </w:pPr>
    </w:p>
    <w:p w14:paraId="00A44BAD">
      <w:pPr>
        <w:keepNext w:val="0"/>
        <w:keepLines w:val="0"/>
        <w:pageBreakBefore w:val="0"/>
        <w:widowControl w:val="0"/>
        <w:kinsoku/>
        <w:wordWrap/>
        <w:overflowPunct/>
        <w:topLinePunct w:val="0"/>
        <w:autoSpaceDE/>
        <w:autoSpaceDN/>
        <w:bidi w:val="0"/>
        <w:adjustRightInd/>
        <w:snapToGrid/>
        <w:spacing w:line="480" w:lineRule="auto"/>
        <w:ind w:firstLine="281" w:firstLineChars="100"/>
        <w:textAlignment w:val="auto"/>
        <w:rPr>
          <w:rFonts w:hint="default" w:ascii="宋体" w:hAnsi="宋体" w:eastAsia="宋体" w:cs="Times New Roman"/>
          <w:b/>
          <w:color w:val="auto"/>
          <w:sz w:val="28"/>
          <w:szCs w:val="28"/>
          <w:u w:val="single"/>
          <w:lang w:val="en-US" w:eastAsia="zh-CN"/>
        </w:rPr>
      </w:pPr>
      <w:r>
        <w:rPr>
          <w:rFonts w:hint="eastAsia" w:ascii="宋体" w:hAnsi="宋体" w:eastAsia="宋体" w:cs="Times New Roman"/>
          <w:b/>
          <w:color w:val="auto"/>
          <w:sz w:val="28"/>
          <w:szCs w:val="28"/>
        </w:rPr>
        <w:t>项</w:t>
      </w:r>
      <w:r>
        <w:rPr>
          <w:rFonts w:hint="eastAsia" w:ascii="宋体" w:hAnsi="宋体" w:eastAsia="宋体" w:cs="Times New Roman"/>
          <w:b/>
          <w:color w:val="auto"/>
          <w:sz w:val="28"/>
          <w:szCs w:val="28"/>
          <w:lang w:val="en-US" w:eastAsia="zh-CN"/>
        </w:rPr>
        <w:t xml:space="preserve">  </w:t>
      </w:r>
      <w:r>
        <w:rPr>
          <w:rFonts w:hint="eastAsia" w:ascii="宋体" w:hAnsi="宋体" w:eastAsia="宋体" w:cs="Times New Roman"/>
          <w:b/>
          <w:color w:val="auto"/>
          <w:sz w:val="28"/>
          <w:szCs w:val="28"/>
        </w:rPr>
        <w:t>目</w:t>
      </w:r>
      <w:r>
        <w:rPr>
          <w:rFonts w:hint="eastAsia" w:ascii="宋体" w:hAnsi="宋体" w:eastAsia="宋体" w:cs="Times New Roman"/>
          <w:b/>
          <w:color w:val="auto"/>
          <w:sz w:val="28"/>
          <w:szCs w:val="28"/>
          <w:lang w:val="en-US" w:eastAsia="zh-CN"/>
        </w:rPr>
        <w:t xml:space="preserve">  </w:t>
      </w:r>
      <w:r>
        <w:rPr>
          <w:rFonts w:hint="eastAsia" w:ascii="宋体" w:hAnsi="宋体" w:eastAsia="宋体" w:cs="Times New Roman"/>
          <w:b/>
          <w:color w:val="auto"/>
          <w:sz w:val="28"/>
          <w:szCs w:val="28"/>
        </w:rPr>
        <w:t>名</w:t>
      </w:r>
      <w:r>
        <w:rPr>
          <w:rFonts w:hint="eastAsia" w:ascii="宋体" w:hAnsi="宋体" w:eastAsia="宋体" w:cs="Times New Roman"/>
          <w:b/>
          <w:color w:val="auto"/>
          <w:sz w:val="28"/>
          <w:szCs w:val="28"/>
          <w:lang w:val="en-US" w:eastAsia="zh-CN"/>
        </w:rPr>
        <w:t xml:space="preserve">  </w:t>
      </w:r>
      <w:r>
        <w:rPr>
          <w:rFonts w:hint="eastAsia" w:ascii="宋体" w:hAnsi="宋体" w:eastAsia="宋体" w:cs="Times New Roman"/>
          <w:b/>
          <w:color w:val="auto"/>
          <w:sz w:val="28"/>
          <w:szCs w:val="28"/>
        </w:rPr>
        <w:t>称：</w:t>
      </w:r>
      <w:r>
        <w:rPr>
          <w:rFonts w:hint="eastAsia" w:ascii="宋体" w:hAnsi="宋体" w:eastAsia="宋体" w:cs="Times New Roman"/>
          <w:b/>
          <w:color w:val="auto"/>
          <w:sz w:val="28"/>
          <w:szCs w:val="28"/>
          <w:u w:val="single"/>
          <w:lang w:eastAsia="zh-CN"/>
        </w:rPr>
        <w:t>新城实验幼儿园暑期木质防护</w:t>
      </w:r>
      <w:r>
        <w:rPr>
          <w:rFonts w:hint="eastAsia" w:ascii="宋体" w:hAnsi="宋体" w:eastAsia="宋体" w:cs="Times New Roman"/>
          <w:b/>
          <w:color w:val="auto"/>
          <w:sz w:val="28"/>
          <w:szCs w:val="28"/>
          <w:u w:val="single"/>
          <w:lang w:val="en-US" w:eastAsia="zh-CN"/>
        </w:rPr>
        <w:t xml:space="preserve">   </w:t>
      </w:r>
    </w:p>
    <w:p w14:paraId="50562ECE">
      <w:pPr>
        <w:ind w:firstLine="0" w:firstLineChars="0"/>
        <w:outlineLvl w:val="9"/>
        <w:rPr>
          <w:rFonts w:ascii="Calibri" w:hAnsi="Calibri" w:eastAsia="宋体" w:cs="Times New Roman"/>
          <w:color w:val="auto"/>
          <w:sz w:val="28"/>
          <w:szCs w:val="28"/>
        </w:rPr>
      </w:pPr>
    </w:p>
    <w:p w14:paraId="24E2057A">
      <w:pPr>
        <w:spacing w:line="480" w:lineRule="auto"/>
        <w:ind w:firstLine="281" w:firstLineChars="100"/>
        <w:rPr>
          <w:rFonts w:ascii="宋体" w:hAnsi="宋体" w:eastAsia="宋体" w:cs="Times New Roman"/>
          <w:b/>
          <w:color w:val="auto"/>
          <w:sz w:val="28"/>
          <w:szCs w:val="28"/>
        </w:rPr>
      </w:pPr>
      <w:r>
        <w:rPr>
          <w:rFonts w:hint="eastAsia" w:ascii="宋体" w:hAnsi="宋体" w:eastAsia="宋体" w:cs="Times New Roman"/>
          <w:b/>
          <w:color w:val="auto"/>
          <w:sz w:val="28"/>
          <w:szCs w:val="28"/>
        </w:rPr>
        <w:t>招  标  人 (盖章)：</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lang w:eastAsia="zh-CN"/>
        </w:rPr>
        <w:t>常州市金坛新城实验幼儿园</w:t>
      </w:r>
      <w:r>
        <w:rPr>
          <w:rFonts w:hint="eastAsia" w:ascii="宋体" w:hAnsi="宋体" w:eastAsia="宋体" w:cs="Times New Roman"/>
          <w:b/>
          <w:color w:val="auto"/>
          <w:sz w:val="28"/>
          <w:szCs w:val="28"/>
          <w:u w:val="single"/>
        </w:rPr>
        <w:t xml:space="preserve">     </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rPr>
        <w:t xml:space="preserve">   </w:t>
      </w:r>
      <w:r>
        <w:rPr>
          <w:rFonts w:ascii="宋体" w:hAnsi="宋体" w:eastAsia="宋体" w:cs="Times New Roman"/>
          <w:b/>
          <w:bCs/>
          <w:color w:val="auto"/>
          <w:sz w:val="28"/>
          <w:szCs w:val="28"/>
          <w:u w:val="single"/>
        </w:rPr>
        <w:t xml:space="preserve"> </w:t>
      </w:r>
    </w:p>
    <w:p w14:paraId="3DEF1989">
      <w:pPr>
        <w:spacing w:line="480" w:lineRule="auto"/>
        <w:ind w:firstLine="562" w:firstLineChars="200"/>
        <w:rPr>
          <w:rFonts w:ascii="宋体" w:hAnsi="宋体" w:eastAsia="宋体" w:cs="Times New Roman"/>
          <w:b/>
          <w:color w:val="auto"/>
          <w:sz w:val="28"/>
          <w:szCs w:val="28"/>
        </w:rPr>
      </w:pPr>
    </w:p>
    <w:p w14:paraId="02BC19E2">
      <w:pPr>
        <w:spacing w:line="480" w:lineRule="auto"/>
        <w:ind w:firstLine="281" w:firstLineChars="100"/>
        <w:rPr>
          <w:rFonts w:ascii="宋体" w:hAnsi="宋体" w:eastAsia="宋体" w:cs="Times New Roman"/>
          <w:b/>
          <w:color w:val="auto"/>
          <w:sz w:val="28"/>
          <w:szCs w:val="28"/>
          <w:u w:val="single"/>
        </w:rPr>
      </w:pPr>
      <w:r>
        <w:rPr>
          <w:rFonts w:hint="eastAsia" w:ascii="宋体" w:hAnsi="宋体" w:eastAsia="宋体" w:cs="Times New Roman"/>
          <w:b/>
          <w:color w:val="auto"/>
          <w:sz w:val="28"/>
          <w:szCs w:val="28"/>
        </w:rPr>
        <w:t>法定代表人 (签字或盖章) ：</w:t>
      </w:r>
      <w:r>
        <w:rPr>
          <w:rFonts w:hint="eastAsia" w:ascii="宋体" w:hAnsi="宋体" w:eastAsia="宋体" w:cs="Times New Roman"/>
          <w:b/>
          <w:color w:val="auto"/>
          <w:sz w:val="28"/>
          <w:szCs w:val="28"/>
          <w:u w:val="single"/>
        </w:rPr>
        <w:t xml:space="preserve">                </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rPr>
        <w:t xml:space="preserve">  </w:t>
      </w:r>
      <w:r>
        <w:rPr>
          <w:rFonts w:ascii="宋体" w:hAnsi="宋体" w:eastAsia="宋体" w:cs="Times New Roman"/>
          <w:b/>
          <w:color w:val="auto"/>
          <w:sz w:val="28"/>
          <w:szCs w:val="28"/>
          <w:u w:val="single"/>
        </w:rPr>
        <w:t xml:space="preserve">  </w:t>
      </w:r>
      <w:r>
        <w:rPr>
          <w:rFonts w:hint="eastAsia" w:ascii="宋体" w:hAnsi="宋体" w:eastAsia="宋体" w:cs="Times New Roman"/>
          <w:b/>
          <w:color w:val="auto"/>
          <w:sz w:val="28"/>
          <w:szCs w:val="28"/>
          <w:u w:val="single"/>
        </w:rPr>
        <w:t xml:space="preserve">        </w:t>
      </w:r>
    </w:p>
    <w:p w14:paraId="0BF6F87A">
      <w:pPr>
        <w:spacing w:line="480" w:lineRule="auto"/>
        <w:ind w:firstLine="562" w:firstLineChars="200"/>
        <w:rPr>
          <w:rFonts w:ascii="宋体" w:hAnsi="宋体" w:eastAsia="宋体" w:cs="Times New Roman"/>
          <w:b/>
          <w:color w:val="auto"/>
          <w:sz w:val="28"/>
          <w:szCs w:val="28"/>
        </w:rPr>
      </w:pPr>
    </w:p>
    <w:p w14:paraId="176FE35F">
      <w:pPr>
        <w:spacing w:line="480" w:lineRule="auto"/>
        <w:ind w:firstLine="281" w:firstLineChars="100"/>
        <w:rPr>
          <w:rFonts w:ascii="宋体" w:hAnsi="宋体" w:eastAsia="宋体" w:cs="Times New Roman"/>
          <w:b/>
          <w:color w:val="auto"/>
          <w:sz w:val="28"/>
          <w:szCs w:val="28"/>
          <w:u w:val="single"/>
        </w:rPr>
      </w:pPr>
      <w:r>
        <w:rPr>
          <w:rFonts w:hint="eastAsia" w:ascii="宋体" w:hAnsi="宋体" w:eastAsia="宋体" w:cs="Times New Roman"/>
          <w:b/>
          <w:color w:val="auto"/>
          <w:sz w:val="28"/>
          <w:szCs w:val="28"/>
        </w:rPr>
        <w:t>招标代理机构(盖章)：</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lang w:eastAsia="zh-CN"/>
        </w:rPr>
        <w:t>南京中信工程造价有限公司</w:t>
      </w:r>
      <w:r>
        <w:rPr>
          <w:rFonts w:hint="eastAsia" w:ascii="宋体" w:hAnsi="宋体" w:eastAsia="宋体" w:cs="Times New Roman"/>
          <w:b/>
          <w:color w:val="auto"/>
          <w:sz w:val="28"/>
          <w:szCs w:val="28"/>
          <w:u w:val="single"/>
        </w:rPr>
        <w:t xml:space="preserve">   </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rPr>
        <w:t xml:space="preserve">     </w:t>
      </w:r>
    </w:p>
    <w:p w14:paraId="4A81D30C">
      <w:pPr>
        <w:spacing w:line="480" w:lineRule="auto"/>
        <w:ind w:firstLine="562" w:firstLineChars="200"/>
        <w:rPr>
          <w:rFonts w:ascii="宋体" w:hAnsi="宋体" w:eastAsia="宋体" w:cs="Times New Roman"/>
          <w:b/>
          <w:color w:val="auto"/>
          <w:sz w:val="28"/>
          <w:szCs w:val="28"/>
        </w:rPr>
      </w:pPr>
    </w:p>
    <w:p w14:paraId="10B1CE06">
      <w:pPr>
        <w:spacing w:line="480" w:lineRule="auto"/>
        <w:ind w:firstLine="281" w:firstLineChars="100"/>
        <w:rPr>
          <w:rFonts w:ascii="宋体" w:hAnsi="宋体" w:eastAsia="宋体" w:cs="Times New Roman"/>
          <w:b/>
          <w:color w:val="auto"/>
          <w:sz w:val="28"/>
          <w:szCs w:val="28"/>
          <w:u w:val="single"/>
        </w:rPr>
      </w:pPr>
      <w:r>
        <w:rPr>
          <w:rFonts w:hint="eastAsia" w:ascii="宋体" w:hAnsi="宋体" w:eastAsia="宋体" w:cs="Times New Roman"/>
          <w:b/>
          <w:color w:val="auto"/>
          <w:sz w:val="28"/>
          <w:szCs w:val="28"/>
        </w:rPr>
        <w:t>法定代表人 (签字或盖章)：</w:t>
      </w:r>
      <w:r>
        <w:rPr>
          <w:rFonts w:hint="eastAsia" w:ascii="宋体" w:hAnsi="宋体" w:eastAsia="宋体" w:cs="Times New Roman"/>
          <w:b/>
          <w:color w:val="auto"/>
          <w:sz w:val="28"/>
          <w:szCs w:val="28"/>
          <w:u w:val="single"/>
        </w:rPr>
        <w:t xml:space="preserve">                 </w:t>
      </w:r>
      <w:r>
        <w:rPr>
          <w:rFonts w:hint="eastAsia" w:ascii="宋体" w:hAnsi="宋体" w:eastAsia="宋体" w:cs="Times New Roman"/>
          <w:b/>
          <w:color w:val="auto"/>
          <w:sz w:val="28"/>
          <w:szCs w:val="28"/>
          <w:u w:val="single"/>
          <w:lang w:val="en-US" w:eastAsia="zh-CN"/>
        </w:rPr>
        <w:t xml:space="preserve">  </w:t>
      </w:r>
      <w:r>
        <w:rPr>
          <w:rFonts w:hint="eastAsia" w:ascii="宋体" w:hAnsi="宋体" w:eastAsia="宋体" w:cs="Times New Roman"/>
          <w:b/>
          <w:color w:val="auto"/>
          <w:sz w:val="28"/>
          <w:szCs w:val="28"/>
          <w:u w:val="single"/>
        </w:rPr>
        <w:t xml:space="preserve">             </w:t>
      </w:r>
    </w:p>
    <w:p w14:paraId="3C6CFAA3">
      <w:pPr>
        <w:spacing w:line="480" w:lineRule="auto"/>
        <w:jc w:val="center"/>
        <w:rPr>
          <w:rFonts w:ascii="宋体" w:hAnsi="宋体" w:eastAsia="宋体" w:cs="Times New Roman"/>
          <w:b/>
          <w:color w:val="auto"/>
          <w:sz w:val="28"/>
          <w:szCs w:val="28"/>
        </w:rPr>
      </w:pPr>
    </w:p>
    <w:p w14:paraId="2A3EB4C5">
      <w:pPr>
        <w:spacing w:line="480" w:lineRule="auto"/>
        <w:jc w:val="center"/>
        <w:rPr>
          <w:rFonts w:ascii="宋体" w:hAnsi="宋体" w:eastAsia="宋体" w:cs="Times New Roman"/>
          <w:b/>
          <w:color w:val="auto"/>
          <w:sz w:val="28"/>
          <w:szCs w:val="28"/>
        </w:rPr>
      </w:pPr>
      <w:r>
        <w:rPr>
          <w:rFonts w:hint="eastAsia" w:ascii="宋体" w:hAnsi="宋体" w:eastAsia="宋体" w:cs="Times New Roman"/>
          <w:b/>
          <w:color w:val="auto"/>
          <w:sz w:val="28"/>
          <w:szCs w:val="28"/>
        </w:rPr>
        <w:t>发放时间：</w:t>
      </w:r>
      <w:r>
        <w:rPr>
          <w:rFonts w:hint="eastAsia" w:ascii="宋体" w:hAnsi="宋体" w:eastAsia="宋体" w:cs="Times New Roman"/>
          <w:b/>
          <w:color w:val="auto"/>
          <w:sz w:val="28"/>
          <w:szCs w:val="28"/>
          <w:lang w:val="en-US" w:eastAsia="zh-CN"/>
        </w:rPr>
        <w:t>2025</w:t>
      </w:r>
      <w:r>
        <w:rPr>
          <w:rFonts w:hint="eastAsia" w:ascii="宋体" w:hAnsi="宋体" w:eastAsia="宋体" w:cs="Times New Roman"/>
          <w:b/>
          <w:color w:val="auto"/>
          <w:sz w:val="28"/>
          <w:szCs w:val="28"/>
        </w:rPr>
        <w:t>年</w:t>
      </w:r>
      <w:r>
        <w:rPr>
          <w:rFonts w:hint="eastAsia" w:ascii="宋体" w:hAnsi="宋体" w:eastAsia="宋体" w:cs="Times New Roman"/>
          <w:b/>
          <w:color w:val="auto"/>
          <w:sz w:val="28"/>
          <w:szCs w:val="28"/>
          <w:lang w:val="en-US" w:eastAsia="zh-CN"/>
        </w:rPr>
        <w:t>6</w:t>
      </w:r>
      <w:r>
        <w:rPr>
          <w:rFonts w:hint="eastAsia" w:ascii="宋体" w:hAnsi="宋体" w:eastAsia="宋体" w:cs="Times New Roman"/>
          <w:b/>
          <w:color w:val="auto"/>
          <w:sz w:val="28"/>
          <w:szCs w:val="28"/>
        </w:rPr>
        <w:t>月</w:t>
      </w:r>
    </w:p>
    <w:p w14:paraId="0216E9F1">
      <w:pPr>
        <w:spacing w:line="480" w:lineRule="auto"/>
        <w:jc w:val="center"/>
        <w:rPr>
          <w:rFonts w:ascii="宋体" w:hAnsi="宋体" w:eastAsia="宋体" w:cs="Times New Roman"/>
          <w:b/>
          <w:color w:val="auto"/>
          <w:sz w:val="44"/>
        </w:rPr>
      </w:pPr>
    </w:p>
    <w:p w14:paraId="15ABDCAB">
      <w:pPr>
        <w:spacing w:line="480" w:lineRule="auto"/>
        <w:jc w:val="center"/>
        <w:rPr>
          <w:rFonts w:ascii="宋体" w:hAnsi="宋体" w:eastAsia="宋体" w:cs="Times New Roman"/>
          <w:b/>
          <w:color w:val="auto"/>
          <w:sz w:val="44"/>
        </w:rPr>
      </w:pPr>
      <w:r>
        <w:rPr>
          <w:rFonts w:hint="eastAsia" w:ascii="宋体" w:hAnsi="宋体" w:eastAsia="宋体" w:cs="Times New Roman"/>
          <w:b/>
          <w:color w:val="auto"/>
          <w:sz w:val="44"/>
        </w:rPr>
        <w:t>目 录</w:t>
      </w:r>
    </w:p>
    <w:p w14:paraId="20492F94">
      <w:pPr>
        <w:widowControl w:val="0"/>
        <w:tabs>
          <w:tab w:val="right" w:leader="dot" w:pos="8307"/>
        </w:tabs>
        <w:spacing w:line="480" w:lineRule="auto"/>
        <w:jc w:val="both"/>
        <w:rPr>
          <w:rFonts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fldChar w:fldCharType="begin"/>
      </w:r>
      <w:r>
        <w:rPr>
          <w:rFonts w:hint="eastAsia" w:ascii="宋体" w:hAnsi="宋体" w:eastAsia="宋体" w:cs="宋体"/>
          <w:color w:val="auto"/>
          <w:kern w:val="2"/>
          <w:sz w:val="21"/>
          <w:szCs w:val="21"/>
          <w:lang w:val="en-US" w:eastAsia="zh-CN" w:bidi="ar-SA"/>
        </w:rPr>
        <w:instrText xml:space="preserve">TOC \o "1-1" \h \u </w:instrText>
      </w:r>
      <w:r>
        <w:rPr>
          <w:rFonts w:hint="eastAsia" w:ascii="宋体" w:hAnsi="宋体" w:eastAsia="宋体" w:cs="宋体"/>
          <w:color w:val="auto"/>
          <w:kern w:val="2"/>
          <w:sz w:val="21"/>
          <w:szCs w:val="21"/>
          <w:lang w:val="en-US" w:eastAsia="zh-CN" w:bidi="ar-SA"/>
        </w:rPr>
        <w:fldChar w:fldCharType="separate"/>
      </w:r>
      <w:r>
        <w:rPr>
          <w:rFonts w:ascii="Calibri" w:hAnsi="Calibri" w:eastAsia="宋体" w:cs="Times New Roman"/>
          <w:color w:val="auto"/>
          <w:kern w:val="2"/>
          <w:sz w:val="21"/>
          <w:szCs w:val="24"/>
          <w:lang w:val="en-US" w:eastAsia="zh-CN" w:bidi="ar-SA"/>
        </w:rPr>
        <w:fldChar w:fldCharType="begin"/>
      </w:r>
      <w:r>
        <w:rPr>
          <w:rFonts w:ascii="Calibri" w:hAnsi="Calibri" w:eastAsia="宋体" w:cs="Times New Roman"/>
          <w:color w:val="auto"/>
          <w:kern w:val="2"/>
          <w:sz w:val="21"/>
          <w:szCs w:val="24"/>
          <w:lang w:val="en-US" w:eastAsia="zh-CN" w:bidi="ar-SA"/>
        </w:rPr>
        <w:instrText xml:space="preserve"> HYPERLINK \l "_Toc24362" </w:instrText>
      </w:r>
      <w:r>
        <w:rPr>
          <w:rFonts w:ascii="Calibri" w:hAnsi="Calibri" w:eastAsia="宋体" w:cs="Times New Roman"/>
          <w:color w:val="auto"/>
          <w:kern w:val="2"/>
          <w:sz w:val="21"/>
          <w:szCs w:val="24"/>
          <w:lang w:val="en-US" w:eastAsia="zh-CN" w:bidi="ar-SA"/>
        </w:rPr>
        <w:fldChar w:fldCharType="separate"/>
      </w:r>
      <w:r>
        <w:rPr>
          <w:rFonts w:hint="eastAsia" w:ascii="宋体" w:hAnsi="宋体" w:eastAsia="宋体" w:cs="宋体"/>
          <w:snapToGrid w:val="0"/>
          <w:color w:val="auto"/>
          <w:kern w:val="2"/>
          <w:sz w:val="21"/>
          <w:szCs w:val="21"/>
          <w:lang w:val="en-US" w:eastAsia="zh-CN" w:bidi="ar-SA"/>
        </w:rPr>
        <w:t>第一章 投标须知（前附表）</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fldChar w:fldCharType="begin"/>
      </w:r>
      <w:r>
        <w:rPr>
          <w:rFonts w:hint="eastAsia" w:ascii="宋体" w:hAnsi="宋体" w:eastAsia="宋体" w:cs="宋体"/>
          <w:color w:val="auto"/>
          <w:kern w:val="2"/>
          <w:sz w:val="21"/>
          <w:szCs w:val="21"/>
          <w:lang w:val="en-US" w:eastAsia="zh-CN" w:bidi="ar-SA"/>
        </w:rPr>
        <w:instrText xml:space="preserve"> PAGEREF _Toc24362 </w:instrText>
      </w:r>
      <w:r>
        <w:rPr>
          <w:rFonts w:hint="eastAsia" w:ascii="宋体" w:hAnsi="宋体" w:eastAsia="宋体" w:cs="宋体"/>
          <w:color w:val="auto"/>
          <w:kern w:val="2"/>
          <w:sz w:val="21"/>
          <w:szCs w:val="21"/>
          <w:lang w:val="en-US" w:eastAsia="zh-CN" w:bidi="ar-SA"/>
        </w:rPr>
        <w:fldChar w:fldCharType="separate"/>
      </w: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kern w:val="2"/>
          <w:sz w:val="21"/>
          <w:szCs w:val="21"/>
          <w:lang w:val="en-US" w:eastAsia="zh-CN" w:bidi="ar-SA"/>
        </w:rPr>
        <w:fldChar w:fldCharType="end"/>
      </w:r>
      <w:r>
        <w:rPr>
          <w:rFonts w:hint="eastAsia" w:ascii="宋体" w:hAnsi="宋体" w:eastAsia="宋体" w:cs="宋体"/>
          <w:color w:val="auto"/>
          <w:kern w:val="2"/>
          <w:sz w:val="21"/>
          <w:szCs w:val="21"/>
          <w:lang w:val="en-US" w:eastAsia="zh-CN" w:bidi="ar-SA"/>
        </w:rPr>
        <w:fldChar w:fldCharType="end"/>
      </w:r>
    </w:p>
    <w:p w14:paraId="56C42655">
      <w:pPr>
        <w:widowControl w:val="0"/>
        <w:tabs>
          <w:tab w:val="right" w:leader="dot" w:pos="8307"/>
        </w:tabs>
        <w:spacing w:line="480" w:lineRule="auto"/>
        <w:jc w:val="both"/>
        <w:rPr>
          <w:rFonts w:ascii="宋体" w:hAnsi="宋体" w:eastAsia="宋体" w:cs="宋体"/>
          <w:color w:val="auto"/>
          <w:kern w:val="2"/>
          <w:sz w:val="21"/>
          <w:szCs w:val="21"/>
          <w:lang w:val="en-US" w:eastAsia="zh-CN" w:bidi="ar-SA"/>
        </w:rPr>
      </w:pPr>
      <w:r>
        <w:rPr>
          <w:rFonts w:ascii="Calibri" w:hAnsi="Calibri" w:eastAsia="宋体" w:cs="Times New Roman"/>
          <w:color w:val="auto"/>
          <w:kern w:val="2"/>
          <w:sz w:val="21"/>
          <w:szCs w:val="24"/>
          <w:lang w:val="en-US" w:eastAsia="zh-CN" w:bidi="ar-SA"/>
        </w:rPr>
        <w:fldChar w:fldCharType="begin"/>
      </w:r>
      <w:r>
        <w:rPr>
          <w:rFonts w:ascii="Calibri" w:hAnsi="Calibri" w:eastAsia="宋体" w:cs="Times New Roman"/>
          <w:color w:val="auto"/>
          <w:kern w:val="2"/>
          <w:sz w:val="21"/>
          <w:szCs w:val="24"/>
          <w:lang w:val="en-US" w:eastAsia="zh-CN" w:bidi="ar-SA"/>
        </w:rPr>
        <w:instrText xml:space="preserve"> HYPERLINK \l "_Toc31178" </w:instrText>
      </w:r>
      <w:r>
        <w:rPr>
          <w:rFonts w:ascii="Calibri" w:hAnsi="Calibri" w:eastAsia="宋体" w:cs="Times New Roman"/>
          <w:color w:val="auto"/>
          <w:kern w:val="2"/>
          <w:sz w:val="21"/>
          <w:szCs w:val="24"/>
          <w:lang w:val="en-US" w:eastAsia="zh-CN" w:bidi="ar-SA"/>
        </w:rPr>
        <w:fldChar w:fldCharType="separate"/>
      </w:r>
      <w:r>
        <w:rPr>
          <w:rFonts w:hint="eastAsia" w:ascii="宋体" w:hAnsi="宋体" w:eastAsia="宋体" w:cs="宋体"/>
          <w:color w:val="auto"/>
          <w:kern w:val="2"/>
          <w:sz w:val="21"/>
          <w:szCs w:val="21"/>
          <w:lang w:val="en-US" w:eastAsia="zh-CN" w:bidi="ar-SA"/>
        </w:rPr>
        <w:t>第二章 合同协议</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fldChar w:fldCharType="begin"/>
      </w:r>
      <w:r>
        <w:rPr>
          <w:rFonts w:hint="eastAsia" w:ascii="宋体" w:hAnsi="宋体" w:eastAsia="宋体" w:cs="宋体"/>
          <w:color w:val="auto"/>
          <w:kern w:val="2"/>
          <w:sz w:val="21"/>
          <w:szCs w:val="21"/>
          <w:lang w:val="en-US" w:eastAsia="zh-CN" w:bidi="ar-SA"/>
        </w:rPr>
        <w:instrText xml:space="preserve"> PAGEREF _Toc31178 </w:instrText>
      </w:r>
      <w:r>
        <w:rPr>
          <w:rFonts w:hint="eastAsia" w:ascii="宋体" w:hAnsi="宋体" w:eastAsia="宋体" w:cs="宋体"/>
          <w:color w:val="auto"/>
          <w:kern w:val="2"/>
          <w:sz w:val="21"/>
          <w:szCs w:val="21"/>
          <w:lang w:val="en-US" w:eastAsia="zh-CN" w:bidi="ar-SA"/>
        </w:rPr>
        <w:fldChar w:fldCharType="separate"/>
      </w:r>
      <w:r>
        <w:rPr>
          <w:rFonts w:hint="eastAsia" w:ascii="宋体" w:hAnsi="宋体" w:eastAsia="宋体" w:cs="宋体"/>
          <w:color w:val="auto"/>
          <w:kern w:val="2"/>
          <w:sz w:val="21"/>
          <w:szCs w:val="21"/>
          <w:lang w:val="en-US" w:eastAsia="zh-CN" w:bidi="ar-SA"/>
        </w:rPr>
        <w:t>13</w:t>
      </w:r>
      <w:r>
        <w:rPr>
          <w:rFonts w:hint="eastAsia" w:ascii="宋体" w:hAnsi="宋体" w:eastAsia="宋体" w:cs="宋体"/>
          <w:color w:val="auto"/>
          <w:kern w:val="2"/>
          <w:sz w:val="21"/>
          <w:szCs w:val="21"/>
          <w:lang w:val="en-US" w:eastAsia="zh-CN" w:bidi="ar-SA"/>
        </w:rPr>
        <w:fldChar w:fldCharType="end"/>
      </w:r>
      <w:r>
        <w:rPr>
          <w:rFonts w:hint="eastAsia" w:ascii="宋体" w:hAnsi="宋体" w:eastAsia="宋体" w:cs="宋体"/>
          <w:color w:val="auto"/>
          <w:kern w:val="2"/>
          <w:sz w:val="21"/>
          <w:szCs w:val="21"/>
          <w:lang w:val="en-US" w:eastAsia="zh-CN" w:bidi="ar-SA"/>
        </w:rPr>
        <w:fldChar w:fldCharType="end"/>
      </w:r>
    </w:p>
    <w:p w14:paraId="206A83C5">
      <w:pPr>
        <w:widowControl w:val="0"/>
        <w:tabs>
          <w:tab w:val="right" w:leader="dot" w:pos="8307"/>
        </w:tabs>
        <w:spacing w:line="480" w:lineRule="auto"/>
        <w:jc w:val="both"/>
        <w:rPr>
          <w:rFonts w:ascii="宋体" w:hAnsi="宋体" w:eastAsia="宋体" w:cs="宋体"/>
          <w:color w:val="auto"/>
          <w:kern w:val="2"/>
          <w:sz w:val="21"/>
          <w:szCs w:val="21"/>
          <w:lang w:val="en-US" w:eastAsia="zh-CN" w:bidi="ar-SA"/>
        </w:rPr>
      </w:pPr>
      <w:r>
        <w:rPr>
          <w:rFonts w:ascii="Calibri" w:hAnsi="Calibri" w:eastAsia="宋体" w:cs="Times New Roman"/>
          <w:color w:val="auto"/>
          <w:kern w:val="2"/>
          <w:sz w:val="21"/>
          <w:szCs w:val="24"/>
          <w:lang w:val="en-US" w:eastAsia="zh-CN" w:bidi="ar-SA"/>
        </w:rPr>
        <w:fldChar w:fldCharType="begin"/>
      </w:r>
      <w:r>
        <w:rPr>
          <w:rFonts w:ascii="Calibri" w:hAnsi="Calibri" w:eastAsia="宋体" w:cs="Times New Roman"/>
          <w:color w:val="auto"/>
          <w:kern w:val="2"/>
          <w:sz w:val="21"/>
          <w:szCs w:val="24"/>
          <w:lang w:val="en-US" w:eastAsia="zh-CN" w:bidi="ar-SA"/>
        </w:rPr>
        <w:instrText xml:space="preserve"> HYPERLINK \l "_Toc31683" </w:instrText>
      </w:r>
      <w:r>
        <w:rPr>
          <w:rFonts w:ascii="Calibri" w:hAnsi="Calibri" w:eastAsia="宋体" w:cs="Times New Roman"/>
          <w:color w:val="auto"/>
          <w:kern w:val="2"/>
          <w:sz w:val="21"/>
          <w:szCs w:val="24"/>
          <w:lang w:val="en-US" w:eastAsia="zh-CN" w:bidi="ar-SA"/>
        </w:rPr>
        <w:fldChar w:fldCharType="separate"/>
      </w:r>
      <w:r>
        <w:rPr>
          <w:rFonts w:hint="eastAsia" w:ascii="宋体" w:hAnsi="宋体" w:eastAsia="宋体" w:cs="宋体"/>
          <w:snapToGrid w:val="0"/>
          <w:color w:val="auto"/>
          <w:kern w:val="2"/>
          <w:sz w:val="21"/>
          <w:szCs w:val="21"/>
          <w:lang w:val="en-US" w:eastAsia="zh-CN" w:bidi="ar-SA"/>
        </w:rPr>
        <w:t>第三章 工程量清单、控制价、编制说明（另附）</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kern w:val="2"/>
          <w:sz w:val="21"/>
          <w:szCs w:val="21"/>
          <w:lang w:val="en-US" w:eastAsia="zh-CN" w:bidi="ar-SA"/>
        </w:rPr>
        <w:fldChar w:fldCharType="end"/>
      </w:r>
      <w:r>
        <w:rPr>
          <w:rFonts w:hint="eastAsia" w:ascii="宋体" w:hAnsi="宋体" w:eastAsia="宋体" w:cs="宋体"/>
          <w:color w:val="auto"/>
          <w:kern w:val="2"/>
          <w:sz w:val="21"/>
          <w:szCs w:val="21"/>
          <w:lang w:val="en-US" w:eastAsia="zh-CN" w:bidi="ar-SA"/>
        </w:rPr>
        <w:t>8</w:t>
      </w:r>
    </w:p>
    <w:p w14:paraId="256C92C9">
      <w:pPr>
        <w:widowControl w:val="0"/>
        <w:tabs>
          <w:tab w:val="right" w:leader="dot" w:pos="8307"/>
        </w:tabs>
        <w:spacing w:line="480" w:lineRule="auto"/>
        <w:jc w:val="both"/>
        <w:rPr>
          <w:rFonts w:ascii="宋体" w:hAnsi="宋体" w:eastAsia="宋体" w:cs="宋体"/>
          <w:color w:val="auto"/>
          <w:kern w:val="2"/>
          <w:sz w:val="21"/>
          <w:szCs w:val="21"/>
          <w:lang w:val="en-US" w:eastAsia="zh-CN" w:bidi="ar-SA"/>
        </w:rPr>
      </w:pPr>
      <w:r>
        <w:rPr>
          <w:rFonts w:ascii="Calibri" w:hAnsi="Calibri" w:eastAsia="宋体" w:cs="Times New Roman"/>
          <w:color w:val="auto"/>
          <w:kern w:val="2"/>
          <w:sz w:val="21"/>
          <w:szCs w:val="24"/>
          <w:lang w:val="en-US" w:eastAsia="zh-CN" w:bidi="ar-SA"/>
        </w:rPr>
        <w:fldChar w:fldCharType="begin"/>
      </w:r>
      <w:r>
        <w:rPr>
          <w:rFonts w:ascii="Calibri" w:hAnsi="Calibri" w:eastAsia="宋体" w:cs="Times New Roman"/>
          <w:color w:val="auto"/>
          <w:kern w:val="2"/>
          <w:sz w:val="21"/>
          <w:szCs w:val="24"/>
          <w:lang w:val="en-US" w:eastAsia="zh-CN" w:bidi="ar-SA"/>
        </w:rPr>
        <w:instrText xml:space="preserve"> HYPERLINK \l "_Toc16321" </w:instrText>
      </w:r>
      <w:r>
        <w:rPr>
          <w:rFonts w:ascii="Calibri" w:hAnsi="Calibri" w:eastAsia="宋体" w:cs="Times New Roman"/>
          <w:color w:val="auto"/>
          <w:kern w:val="2"/>
          <w:sz w:val="21"/>
          <w:szCs w:val="24"/>
          <w:lang w:val="en-US" w:eastAsia="zh-CN" w:bidi="ar-SA"/>
        </w:rPr>
        <w:fldChar w:fldCharType="separate"/>
      </w:r>
      <w:r>
        <w:rPr>
          <w:rFonts w:hint="eastAsia" w:ascii="宋体" w:hAnsi="宋体" w:eastAsia="宋体" w:cs="宋体"/>
          <w:snapToGrid w:val="0"/>
          <w:color w:val="auto"/>
          <w:kern w:val="2"/>
          <w:sz w:val="21"/>
          <w:szCs w:val="21"/>
          <w:lang w:val="en-US" w:eastAsia="zh-CN" w:bidi="ar-SA"/>
        </w:rPr>
        <w:t>第四章 投标文件(格式)</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fldChar w:fldCharType="begin"/>
      </w:r>
      <w:r>
        <w:rPr>
          <w:rFonts w:hint="eastAsia" w:ascii="宋体" w:hAnsi="宋体" w:eastAsia="宋体" w:cs="宋体"/>
          <w:color w:val="auto"/>
          <w:kern w:val="2"/>
          <w:sz w:val="21"/>
          <w:szCs w:val="21"/>
          <w:lang w:val="en-US" w:eastAsia="zh-CN" w:bidi="ar-SA"/>
        </w:rPr>
        <w:instrText xml:space="preserve"> PAGEREF _Toc16321 </w:instrText>
      </w:r>
      <w:r>
        <w:rPr>
          <w:rFonts w:hint="eastAsia" w:ascii="宋体" w:hAnsi="宋体" w:eastAsia="宋体" w:cs="宋体"/>
          <w:color w:val="auto"/>
          <w:kern w:val="2"/>
          <w:sz w:val="21"/>
          <w:szCs w:val="21"/>
          <w:lang w:val="en-US" w:eastAsia="zh-CN" w:bidi="ar-SA"/>
        </w:rPr>
        <w:fldChar w:fldCharType="separate"/>
      </w:r>
      <w:r>
        <w:rPr>
          <w:rFonts w:hint="eastAsia" w:ascii="宋体" w:hAnsi="宋体" w:eastAsia="宋体" w:cs="宋体"/>
          <w:color w:val="auto"/>
          <w:kern w:val="2"/>
          <w:sz w:val="21"/>
          <w:szCs w:val="21"/>
          <w:lang w:val="en-US" w:eastAsia="zh-CN" w:bidi="ar-SA"/>
        </w:rPr>
        <w:t>30</w:t>
      </w:r>
      <w:r>
        <w:rPr>
          <w:rFonts w:hint="eastAsia" w:ascii="宋体" w:hAnsi="宋体" w:eastAsia="宋体" w:cs="宋体"/>
          <w:color w:val="auto"/>
          <w:kern w:val="2"/>
          <w:sz w:val="21"/>
          <w:szCs w:val="21"/>
          <w:lang w:val="en-US" w:eastAsia="zh-CN" w:bidi="ar-SA"/>
        </w:rPr>
        <w:fldChar w:fldCharType="end"/>
      </w:r>
      <w:r>
        <w:rPr>
          <w:rFonts w:hint="eastAsia" w:ascii="宋体" w:hAnsi="宋体" w:eastAsia="宋体" w:cs="宋体"/>
          <w:color w:val="auto"/>
          <w:kern w:val="2"/>
          <w:sz w:val="21"/>
          <w:szCs w:val="21"/>
          <w:lang w:val="en-US" w:eastAsia="zh-CN" w:bidi="ar-SA"/>
        </w:rPr>
        <w:fldChar w:fldCharType="end"/>
      </w:r>
    </w:p>
    <w:p w14:paraId="5987AD90">
      <w:pPr>
        <w:widowControl w:val="0"/>
        <w:tabs>
          <w:tab w:val="right" w:leader="dot" w:pos="8307"/>
        </w:tabs>
        <w:spacing w:line="480" w:lineRule="auto"/>
        <w:jc w:val="both"/>
        <w:rPr>
          <w:rFonts w:ascii="宋体" w:hAnsi="宋体" w:eastAsia="宋体" w:cs="宋体"/>
          <w:color w:val="auto"/>
          <w:kern w:val="2"/>
          <w:sz w:val="21"/>
          <w:szCs w:val="21"/>
          <w:lang w:val="en-US" w:eastAsia="zh-CN" w:bidi="ar-SA"/>
        </w:rPr>
      </w:pPr>
      <w:r>
        <w:rPr>
          <w:rFonts w:ascii="Calibri" w:hAnsi="Calibri" w:eastAsia="宋体" w:cs="Times New Roman"/>
          <w:color w:val="auto"/>
          <w:kern w:val="2"/>
          <w:sz w:val="21"/>
          <w:szCs w:val="24"/>
          <w:lang w:val="en-US" w:eastAsia="zh-CN" w:bidi="ar-SA"/>
        </w:rPr>
        <w:fldChar w:fldCharType="begin"/>
      </w:r>
      <w:r>
        <w:rPr>
          <w:rFonts w:ascii="Calibri" w:hAnsi="Calibri" w:eastAsia="宋体" w:cs="Times New Roman"/>
          <w:color w:val="auto"/>
          <w:kern w:val="2"/>
          <w:sz w:val="21"/>
          <w:szCs w:val="24"/>
          <w:lang w:val="en-US" w:eastAsia="zh-CN" w:bidi="ar-SA"/>
        </w:rPr>
        <w:instrText xml:space="preserve"> HYPERLINK \l "_Toc6343" </w:instrText>
      </w:r>
      <w:r>
        <w:rPr>
          <w:rFonts w:ascii="Calibri" w:hAnsi="Calibri" w:eastAsia="宋体" w:cs="Times New Roman"/>
          <w:color w:val="auto"/>
          <w:kern w:val="2"/>
          <w:sz w:val="21"/>
          <w:szCs w:val="24"/>
          <w:lang w:val="en-US" w:eastAsia="zh-CN" w:bidi="ar-SA"/>
        </w:rPr>
        <w:fldChar w:fldCharType="separate"/>
      </w:r>
      <w:r>
        <w:rPr>
          <w:rFonts w:hint="eastAsia" w:ascii="宋体" w:hAnsi="宋体" w:eastAsia="宋体" w:cs="宋体"/>
          <w:snapToGrid w:val="0"/>
          <w:color w:val="auto"/>
          <w:kern w:val="2"/>
          <w:sz w:val="21"/>
          <w:szCs w:val="21"/>
          <w:lang w:val="en-US" w:eastAsia="zh-CN" w:bidi="ar-SA"/>
        </w:rPr>
        <w:t>第五章 评 标 细 则</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kern w:val="2"/>
          <w:sz w:val="21"/>
          <w:szCs w:val="21"/>
          <w:lang w:val="en-US" w:eastAsia="zh-CN" w:bidi="ar-SA"/>
        </w:rPr>
        <w:fldChar w:fldCharType="end"/>
      </w:r>
      <w:r>
        <w:rPr>
          <w:rFonts w:hint="eastAsia" w:ascii="宋体" w:hAnsi="宋体" w:eastAsia="宋体" w:cs="宋体"/>
          <w:color w:val="auto"/>
          <w:kern w:val="2"/>
          <w:sz w:val="21"/>
          <w:szCs w:val="21"/>
          <w:lang w:val="en-US" w:eastAsia="zh-CN" w:bidi="ar-SA"/>
        </w:rPr>
        <w:t>6</w:t>
      </w:r>
    </w:p>
    <w:p w14:paraId="619B9842">
      <w:pPr>
        <w:spacing w:line="360" w:lineRule="auto"/>
        <w:rPr>
          <w:rFonts w:ascii="宋体" w:hAnsi="宋体" w:eastAsia="宋体" w:cs="Times New Roman"/>
          <w:color w:val="auto"/>
        </w:rPr>
      </w:pPr>
      <w:r>
        <w:rPr>
          <w:rFonts w:hint="eastAsia" w:ascii="宋体" w:hAnsi="宋体" w:eastAsia="宋体" w:cs="宋体"/>
          <w:color w:val="auto"/>
          <w:szCs w:val="21"/>
        </w:rPr>
        <w:fldChar w:fldCharType="end"/>
      </w:r>
    </w:p>
    <w:p w14:paraId="7E75D573">
      <w:pPr>
        <w:spacing w:line="480" w:lineRule="auto"/>
        <w:ind w:firstLine="3889"/>
        <w:rPr>
          <w:rFonts w:ascii="宋体" w:hAnsi="宋体" w:eastAsia="宋体" w:cs="Times New Roman"/>
          <w:b/>
          <w:color w:val="auto"/>
          <w:sz w:val="44"/>
        </w:rPr>
      </w:pPr>
    </w:p>
    <w:p w14:paraId="01911497">
      <w:pPr>
        <w:tabs>
          <w:tab w:val="left" w:pos="0"/>
          <w:tab w:val="left" w:pos="993"/>
          <w:tab w:val="left" w:pos="1134"/>
        </w:tabs>
        <w:adjustRightInd w:val="0"/>
        <w:snapToGrid w:val="0"/>
        <w:spacing w:line="480" w:lineRule="auto"/>
        <w:rPr>
          <w:rFonts w:ascii="宋体" w:hAnsi="宋体"/>
          <w:snapToGrid w:val="0"/>
          <w:color w:val="auto"/>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14:paraId="2120B61B">
      <w:pPr>
        <w:tabs>
          <w:tab w:val="left" w:pos="0"/>
          <w:tab w:val="left" w:pos="993"/>
          <w:tab w:val="left" w:pos="1134"/>
        </w:tabs>
        <w:adjustRightInd w:val="0"/>
        <w:snapToGrid w:val="0"/>
        <w:spacing w:line="360" w:lineRule="auto"/>
        <w:ind w:left="840"/>
        <w:jc w:val="center"/>
        <w:outlineLvl w:val="0"/>
        <w:rPr>
          <w:rFonts w:ascii="宋体" w:hAnsi="宋体" w:eastAsia="宋体" w:cs="Times New Roman"/>
          <w:b/>
          <w:snapToGrid w:val="0"/>
          <w:color w:val="auto"/>
          <w:sz w:val="28"/>
          <w:szCs w:val="28"/>
        </w:rPr>
      </w:pPr>
      <w:bookmarkStart w:id="0" w:name="_Toc30588"/>
      <w:bookmarkStart w:id="1" w:name="_Toc22561"/>
      <w:bookmarkStart w:id="2" w:name="_Toc6959"/>
      <w:bookmarkStart w:id="3" w:name="_Toc24890"/>
      <w:bookmarkStart w:id="4" w:name="_Toc24362"/>
      <w:bookmarkStart w:id="5" w:name="_Toc17264"/>
      <w:r>
        <w:rPr>
          <w:rFonts w:hint="eastAsia" w:ascii="宋体" w:hAnsi="宋体" w:eastAsia="宋体" w:cs="Times New Roman"/>
          <w:b/>
          <w:snapToGrid w:val="0"/>
          <w:color w:val="auto"/>
          <w:sz w:val="28"/>
          <w:szCs w:val="28"/>
        </w:rPr>
        <w:t>第一章 投标须知（前附表</w:t>
      </w:r>
      <w:bookmarkEnd w:id="0"/>
      <w:bookmarkEnd w:id="1"/>
      <w:bookmarkEnd w:id="2"/>
      <w:bookmarkEnd w:id="3"/>
      <w:r>
        <w:rPr>
          <w:rFonts w:hint="eastAsia" w:ascii="宋体" w:hAnsi="宋体" w:eastAsia="宋体" w:cs="Times New Roman"/>
          <w:b/>
          <w:snapToGrid w:val="0"/>
          <w:color w:val="auto"/>
          <w:sz w:val="28"/>
          <w:szCs w:val="28"/>
        </w:rPr>
        <w:t>）</w:t>
      </w:r>
      <w:bookmarkEnd w:id="4"/>
      <w:bookmarkEnd w:id="5"/>
    </w:p>
    <w:tbl>
      <w:tblPr>
        <w:tblStyle w:val="2"/>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14:paraId="58CE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066990B">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工程名称</w:t>
            </w:r>
          </w:p>
        </w:tc>
        <w:tc>
          <w:tcPr>
            <w:tcW w:w="7766" w:type="dxa"/>
            <w:gridSpan w:val="3"/>
            <w:vAlign w:val="center"/>
          </w:tcPr>
          <w:p w14:paraId="4673E646">
            <w:pPr>
              <w:adjustRightInd w:val="0"/>
              <w:snapToGrid w:val="0"/>
              <w:spacing w:line="400" w:lineRule="exact"/>
              <w:jc w:val="center"/>
              <w:rPr>
                <w:rFonts w:hint="eastAsia" w:ascii="宋体" w:hAnsi="宋体" w:eastAsia="宋体" w:cs="宋体"/>
                <w:snapToGrid w:val="0"/>
                <w:color w:val="auto"/>
                <w:szCs w:val="21"/>
                <w:lang w:eastAsia="zh-CN"/>
              </w:rPr>
            </w:pPr>
            <w:r>
              <w:rPr>
                <w:rFonts w:hint="eastAsia" w:ascii="宋体" w:hAnsi="宋体" w:eastAsia="宋体" w:cs="宋体"/>
                <w:snapToGrid w:val="0"/>
                <w:color w:val="auto"/>
                <w:szCs w:val="21"/>
                <w:lang w:eastAsia="zh-CN"/>
              </w:rPr>
              <w:t>新城实验幼儿园暑期木质防护</w:t>
            </w:r>
          </w:p>
        </w:tc>
      </w:tr>
      <w:tr w14:paraId="5BBE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7362FB06">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建设地点</w:t>
            </w:r>
          </w:p>
        </w:tc>
        <w:tc>
          <w:tcPr>
            <w:tcW w:w="7766" w:type="dxa"/>
            <w:gridSpan w:val="3"/>
            <w:vAlign w:val="center"/>
          </w:tcPr>
          <w:p w14:paraId="7BF0D278">
            <w:pPr>
              <w:adjustRightInd w:val="0"/>
              <w:snapToGrid w:val="0"/>
              <w:spacing w:line="400" w:lineRule="exact"/>
              <w:jc w:val="center"/>
              <w:rPr>
                <w:rFonts w:hint="eastAsia" w:ascii="宋体" w:hAnsi="宋体" w:eastAsia="宋体" w:cs="宋体"/>
                <w:snapToGrid w:val="0"/>
                <w:color w:val="auto"/>
                <w:szCs w:val="21"/>
                <w:lang w:val="en-US" w:eastAsia="zh-CN"/>
              </w:rPr>
            </w:pPr>
            <w:r>
              <w:rPr>
                <w:rFonts w:hint="eastAsia" w:ascii="宋体" w:hAnsi="宋体" w:eastAsia="宋体" w:cs="宋体"/>
                <w:snapToGrid w:val="0"/>
                <w:color w:val="auto"/>
                <w:szCs w:val="21"/>
                <w:lang w:eastAsia="zh-CN"/>
              </w:rPr>
              <w:t>常州市金坛新城实验幼儿园</w:t>
            </w:r>
          </w:p>
        </w:tc>
      </w:tr>
      <w:tr w14:paraId="60A4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14:paraId="0396D1C6">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联 系 人</w:t>
            </w:r>
          </w:p>
        </w:tc>
        <w:tc>
          <w:tcPr>
            <w:tcW w:w="2767" w:type="dxa"/>
            <w:vAlign w:val="center"/>
          </w:tcPr>
          <w:p w14:paraId="21FD6116">
            <w:pPr>
              <w:adjustRightInd w:val="0"/>
              <w:snapToGrid w:val="0"/>
              <w:spacing w:line="400" w:lineRule="exact"/>
              <w:jc w:val="center"/>
              <w:rPr>
                <w:rFonts w:hint="default" w:ascii="宋体" w:hAnsi="宋体" w:eastAsia="宋体" w:cs="宋体"/>
                <w:snapToGrid w:val="0"/>
                <w:color w:val="auto"/>
                <w:szCs w:val="21"/>
                <w:lang w:val="en-US" w:eastAsia="zh-CN"/>
              </w:rPr>
            </w:pPr>
            <w:r>
              <w:rPr>
                <w:rFonts w:hint="eastAsia" w:ascii="宋体" w:hAnsi="宋体" w:eastAsia="宋体" w:cs="宋体"/>
                <w:snapToGrid w:val="0"/>
                <w:color w:val="auto"/>
                <w:szCs w:val="21"/>
                <w:lang w:val="en-US" w:eastAsia="zh-CN"/>
              </w:rPr>
              <w:t>刘女士</w:t>
            </w:r>
          </w:p>
        </w:tc>
        <w:tc>
          <w:tcPr>
            <w:tcW w:w="2266" w:type="dxa"/>
            <w:vAlign w:val="center"/>
          </w:tcPr>
          <w:p w14:paraId="412A426C">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联系电话</w:t>
            </w:r>
          </w:p>
        </w:tc>
        <w:tc>
          <w:tcPr>
            <w:tcW w:w="2733" w:type="dxa"/>
            <w:vAlign w:val="center"/>
          </w:tcPr>
          <w:p w14:paraId="5107146B">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lang w:val="en-US" w:eastAsia="zh-CN"/>
              </w:rPr>
              <w:t>15306140288</w:t>
            </w:r>
          </w:p>
        </w:tc>
      </w:tr>
      <w:tr w14:paraId="48910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14:paraId="61512661">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招标方式</w:t>
            </w:r>
          </w:p>
        </w:tc>
        <w:tc>
          <w:tcPr>
            <w:tcW w:w="7766" w:type="dxa"/>
            <w:gridSpan w:val="3"/>
            <w:vAlign w:val="center"/>
          </w:tcPr>
          <w:p w14:paraId="4D991E0C">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公开招标</w:t>
            </w:r>
          </w:p>
        </w:tc>
      </w:tr>
      <w:tr w14:paraId="27E0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0C6819B6">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招标范围</w:t>
            </w:r>
          </w:p>
        </w:tc>
        <w:tc>
          <w:tcPr>
            <w:tcW w:w="7766" w:type="dxa"/>
            <w:gridSpan w:val="3"/>
            <w:vAlign w:val="center"/>
          </w:tcPr>
          <w:p w14:paraId="23815E66">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招标清单、控制价及编制说明等包括的全部内容</w:t>
            </w:r>
          </w:p>
        </w:tc>
      </w:tr>
      <w:tr w14:paraId="6E10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9F97DD6">
            <w:pPr>
              <w:adjustRightInd w:val="0"/>
              <w:snapToGrid w:val="0"/>
              <w:spacing w:line="400" w:lineRule="exact"/>
              <w:ind w:firstLine="315" w:firstLineChars="150"/>
              <w:rPr>
                <w:rFonts w:ascii="宋体" w:hAnsi="宋体" w:eastAsia="宋体" w:cs="宋体"/>
                <w:snapToGrid w:val="0"/>
                <w:color w:val="auto"/>
                <w:szCs w:val="21"/>
              </w:rPr>
            </w:pPr>
            <w:r>
              <w:rPr>
                <w:rFonts w:hint="eastAsia" w:ascii="宋体" w:hAnsi="宋体" w:eastAsia="宋体" w:cs="宋体"/>
                <w:bCs/>
                <w:snapToGrid w:val="0"/>
                <w:color w:val="auto"/>
                <w:szCs w:val="21"/>
              </w:rPr>
              <w:t>工期要求</w:t>
            </w:r>
          </w:p>
        </w:tc>
        <w:tc>
          <w:tcPr>
            <w:tcW w:w="7766" w:type="dxa"/>
            <w:gridSpan w:val="3"/>
            <w:vAlign w:val="center"/>
          </w:tcPr>
          <w:p w14:paraId="00D54C17">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highlight w:val="none"/>
                <w:lang w:val="en-US" w:eastAsia="zh-CN"/>
              </w:rPr>
              <w:t>25日历天</w:t>
            </w:r>
          </w:p>
        </w:tc>
      </w:tr>
      <w:tr w14:paraId="4880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F0B837D">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质量要求</w:t>
            </w:r>
          </w:p>
        </w:tc>
        <w:tc>
          <w:tcPr>
            <w:tcW w:w="7766" w:type="dxa"/>
            <w:gridSpan w:val="3"/>
            <w:vAlign w:val="center"/>
          </w:tcPr>
          <w:p w14:paraId="43BED088">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合格</w:t>
            </w:r>
          </w:p>
        </w:tc>
      </w:tr>
      <w:tr w14:paraId="3F82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65693D4D">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现场踏勘</w:t>
            </w:r>
          </w:p>
        </w:tc>
        <w:tc>
          <w:tcPr>
            <w:tcW w:w="7766" w:type="dxa"/>
            <w:gridSpan w:val="3"/>
            <w:vAlign w:val="center"/>
          </w:tcPr>
          <w:p w14:paraId="68A6AC7E">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各投标单位也可自行踏勘</w:t>
            </w:r>
          </w:p>
        </w:tc>
      </w:tr>
      <w:tr w14:paraId="40F0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0ACCA92">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投标有效期</w:t>
            </w:r>
          </w:p>
        </w:tc>
        <w:tc>
          <w:tcPr>
            <w:tcW w:w="7766" w:type="dxa"/>
            <w:gridSpan w:val="3"/>
            <w:vAlign w:val="center"/>
          </w:tcPr>
          <w:p w14:paraId="7EC02224">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投标截止日后</w:t>
            </w:r>
            <w:r>
              <w:rPr>
                <w:rFonts w:hint="eastAsia" w:ascii="宋体" w:hAnsi="宋体" w:eastAsia="宋体" w:cs="宋体"/>
                <w:snapToGrid w:val="0"/>
                <w:color w:val="auto"/>
                <w:szCs w:val="21"/>
                <w:u w:val="single"/>
              </w:rPr>
              <w:t>45</w:t>
            </w:r>
            <w:r>
              <w:rPr>
                <w:rFonts w:hint="eastAsia" w:ascii="宋体" w:hAnsi="宋体" w:eastAsia="宋体" w:cs="宋体"/>
                <w:snapToGrid w:val="0"/>
                <w:color w:val="auto"/>
                <w:szCs w:val="21"/>
              </w:rPr>
              <w:t>日内有效</w:t>
            </w:r>
          </w:p>
        </w:tc>
      </w:tr>
      <w:tr w14:paraId="7E94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217B14BE">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投标文件份数</w:t>
            </w:r>
          </w:p>
        </w:tc>
        <w:tc>
          <w:tcPr>
            <w:tcW w:w="7766" w:type="dxa"/>
            <w:gridSpan w:val="3"/>
            <w:vAlign w:val="center"/>
          </w:tcPr>
          <w:p w14:paraId="1C435155">
            <w:pPr>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正本：一套。开标截止时间前装袋、密封提交。</w:t>
            </w:r>
          </w:p>
          <w:p w14:paraId="6974AADC">
            <w:pPr>
              <w:adjustRightInd w:val="0"/>
              <w:snapToGrid w:val="0"/>
              <w:spacing w:line="400" w:lineRule="exact"/>
              <w:rPr>
                <w:rFonts w:ascii="宋体" w:hAnsi="宋体" w:eastAsia="宋体" w:cs="宋体"/>
                <w:bCs/>
                <w:snapToGrid w:val="0"/>
                <w:color w:val="auto"/>
                <w:szCs w:val="21"/>
              </w:rPr>
            </w:pPr>
            <w:r>
              <w:rPr>
                <w:rFonts w:hint="eastAsia" w:ascii="宋体" w:hAnsi="宋体" w:eastAsia="宋体" w:cs="宋体"/>
                <w:snapToGrid w:val="0"/>
                <w:color w:val="auto"/>
                <w:szCs w:val="21"/>
              </w:rPr>
              <w:t>副本开标时无需提供。投标单位在中标后，领取中标通知书时，另行提供两套投标文件。</w:t>
            </w:r>
          </w:p>
        </w:tc>
      </w:tr>
      <w:tr w14:paraId="554E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5D1AD67E">
            <w:pPr>
              <w:adjustRightInd w:val="0"/>
              <w:snapToGrid w:val="0"/>
              <w:spacing w:line="400" w:lineRule="exact"/>
              <w:jc w:val="center"/>
              <w:rPr>
                <w:rFonts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投标保证金</w:t>
            </w:r>
          </w:p>
        </w:tc>
        <w:tc>
          <w:tcPr>
            <w:tcW w:w="7766" w:type="dxa"/>
            <w:gridSpan w:val="3"/>
            <w:vAlign w:val="center"/>
          </w:tcPr>
          <w:p w14:paraId="1F125F86">
            <w:pPr>
              <w:widowControl w:val="0"/>
              <w:spacing w:before="0" w:beforeAutospacing="0" w:after="0" w:afterAutospacing="0" w:line="420" w:lineRule="exact"/>
              <w:jc w:val="both"/>
              <w:rPr>
                <w:rFonts w:hint="eastAsia" w:ascii="宋体" w:hAnsi="宋体" w:eastAsia="宋体" w:cs="宋体"/>
                <w:bCs/>
                <w:snapToGrid w:val="0"/>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u w:val="single"/>
                <w:lang w:val="en-US" w:eastAsia="zh-CN" w:bidi="ar-SA"/>
              </w:rPr>
              <w:t>1000元整</w:t>
            </w:r>
            <w:r>
              <w:rPr>
                <w:rFonts w:hint="eastAsia" w:ascii="宋体" w:hAnsi="宋体" w:eastAsia="宋体" w:cs="Times New Roman"/>
                <w:color w:val="auto"/>
                <w:kern w:val="2"/>
                <w:sz w:val="21"/>
                <w:szCs w:val="21"/>
                <w:highlight w:val="none"/>
                <w:lang w:val="en-US" w:eastAsia="zh-CN" w:bidi="ar-SA"/>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p>
        </w:tc>
      </w:tr>
      <w:tr w14:paraId="25CF9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499A5C94">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投标文件递交地点及截至时间</w:t>
            </w:r>
          </w:p>
        </w:tc>
        <w:tc>
          <w:tcPr>
            <w:tcW w:w="7766" w:type="dxa"/>
            <w:gridSpan w:val="3"/>
            <w:vAlign w:val="center"/>
          </w:tcPr>
          <w:p w14:paraId="3EC48FB4">
            <w:pPr>
              <w:adjustRightInd w:val="0"/>
              <w:snapToGrid w:val="0"/>
              <w:spacing w:line="400" w:lineRule="exact"/>
              <w:rPr>
                <w:rFonts w:hint="eastAsia" w:ascii="宋体" w:hAnsi="宋体" w:eastAsia="宋体" w:cs="宋体"/>
                <w:color w:val="auto"/>
                <w:szCs w:val="21"/>
                <w:highlight w:val="none"/>
                <w:shd w:val="clear" w:color="auto" w:fill="FFFFFF"/>
                <w:lang w:eastAsia="zh-CN"/>
              </w:rPr>
            </w:pPr>
            <w:r>
              <w:rPr>
                <w:rFonts w:hint="eastAsia" w:ascii="宋体" w:hAnsi="宋体" w:eastAsia="宋体" w:cs="宋体"/>
                <w:color w:val="auto"/>
                <w:szCs w:val="21"/>
                <w:highlight w:val="none"/>
                <w:shd w:val="clear" w:color="auto" w:fill="FFFFFF"/>
              </w:rPr>
              <w:t>接收人：</w:t>
            </w:r>
            <w:r>
              <w:rPr>
                <w:rFonts w:hint="eastAsia" w:ascii="宋体" w:hAnsi="宋体" w:eastAsia="宋体" w:cs="宋体"/>
                <w:color w:val="auto"/>
                <w:szCs w:val="21"/>
                <w:highlight w:val="none"/>
                <w:shd w:val="clear" w:color="auto" w:fill="FFFFFF"/>
                <w:lang w:eastAsia="zh-CN"/>
              </w:rPr>
              <w:t>南京中信工程造价有限公司；</w:t>
            </w:r>
          </w:p>
          <w:p w14:paraId="227E21AA">
            <w:pPr>
              <w:adjustRightInd w:val="0"/>
              <w:snapToGrid w:val="0"/>
              <w:spacing w:line="400" w:lineRule="exact"/>
              <w:rPr>
                <w:rFonts w:hint="eastAsia" w:ascii="宋体" w:hAnsi="宋体" w:eastAsia="宋体" w:cs="宋体"/>
                <w:color w:val="auto"/>
                <w:szCs w:val="21"/>
                <w:highlight w:val="none"/>
                <w:shd w:val="clear" w:color="auto" w:fill="FFFFFF"/>
                <w:lang w:eastAsia="zh-CN"/>
              </w:rPr>
            </w:pPr>
            <w:r>
              <w:rPr>
                <w:rFonts w:hint="eastAsia" w:ascii="宋体" w:hAnsi="宋体" w:eastAsia="宋体" w:cs="宋体"/>
                <w:color w:val="auto"/>
                <w:szCs w:val="21"/>
                <w:highlight w:val="none"/>
                <w:shd w:val="clear" w:color="auto" w:fill="FFFFFF"/>
              </w:rPr>
              <w:t>地  点：</w:t>
            </w:r>
            <w:r>
              <w:rPr>
                <w:rFonts w:hint="eastAsia" w:ascii="宋体" w:hAnsi="宋体" w:eastAsia="宋体" w:cs="宋体"/>
                <w:color w:val="auto"/>
                <w:szCs w:val="21"/>
                <w:highlight w:val="none"/>
                <w:shd w:val="clear" w:color="auto" w:fill="FFFFFF"/>
                <w:lang w:eastAsia="zh-CN"/>
              </w:rPr>
              <w:t>南京中信工程造价有限公司</w:t>
            </w:r>
            <w:r>
              <w:rPr>
                <w:rFonts w:hint="eastAsia" w:ascii="宋体" w:hAnsi="宋体" w:eastAsia="宋体" w:cs="宋体"/>
                <w:color w:val="auto"/>
                <w:szCs w:val="21"/>
                <w:highlight w:val="none"/>
                <w:shd w:val="clear" w:color="auto" w:fill="FFFFFF"/>
              </w:rPr>
              <w:t>开标室（</w:t>
            </w:r>
            <w:r>
              <w:rPr>
                <w:rFonts w:hint="eastAsia" w:ascii="宋体" w:hAnsi="宋体" w:eastAsia="宋体" w:cs="宋体"/>
                <w:color w:val="auto"/>
                <w:szCs w:val="21"/>
                <w:highlight w:val="none"/>
                <w:shd w:val="clear" w:color="auto" w:fill="FFFFFF"/>
                <w:lang w:eastAsia="zh-CN"/>
              </w:rPr>
              <w:t>常州市金坛区</w:t>
            </w:r>
            <w:r>
              <w:rPr>
                <w:rFonts w:hint="eastAsia" w:ascii="宋体" w:hAnsi="宋体" w:eastAsia="宋体" w:cs="宋体"/>
                <w:color w:val="auto"/>
                <w:szCs w:val="21"/>
                <w:highlight w:val="none"/>
                <w:shd w:val="clear" w:color="auto" w:fill="FFFFFF"/>
                <w:lang w:val="en-US" w:eastAsia="zh-CN"/>
              </w:rPr>
              <w:t>左邻右里44栋201</w:t>
            </w:r>
            <w:r>
              <w:rPr>
                <w:rFonts w:hint="eastAsia" w:ascii="宋体" w:hAnsi="宋体" w:eastAsia="宋体" w:cs="宋体"/>
                <w:color w:val="auto"/>
                <w:szCs w:val="21"/>
                <w:highlight w:val="none"/>
                <w:shd w:val="clear" w:color="auto" w:fill="FFFFFF"/>
              </w:rPr>
              <w:t>）</w:t>
            </w:r>
            <w:r>
              <w:rPr>
                <w:rFonts w:hint="eastAsia" w:ascii="宋体" w:hAnsi="宋体" w:eastAsia="宋体" w:cs="宋体"/>
                <w:color w:val="auto"/>
                <w:szCs w:val="21"/>
                <w:highlight w:val="none"/>
                <w:shd w:val="clear" w:color="auto" w:fill="FFFFFF"/>
                <w:lang w:eastAsia="zh-CN"/>
              </w:rPr>
              <w:t>；</w:t>
            </w:r>
          </w:p>
          <w:p w14:paraId="0308FF6E">
            <w:pPr>
              <w:adjustRightInd w:val="0"/>
              <w:snapToGrid w:val="0"/>
              <w:spacing w:line="400" w:lineRule="exact"/>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投标截至时间：</w:t>
            </w:r>
            <w:r>
              <w:rPr>
                <w:rFonts w:hint="eastAsia" w:ascii="宋体" w:hAnsi="宋体" w:eastAsia="宋体" w:cs="宋体"/>
                <w:color w:val="auto"/>
                <w:szCs w:val="21"/>
                <w:highlight w:val="none"/>
                <w:shd w:val="clear" w:color="auto" w:fill="FFFFFF"/>
                <w:lang w:val="en-US" w:eastAsia="zh-CN"/>
              </w:rPr>
              <w:t>2025</w:t>
            </w:r>
            <w:r>
              <w:rPr>
                <w:rFonts w:hint="eastAsia" w:ascii="宋体" w:hAnsi="宋体" w:eastAsia="宋体" w:cs="宋体"/>
                <w:color w:val="auto"/>
                <w:szCs w:val="21"/>
                <w:highlight w:val="none"/>
                <w:shd w:val="clear" w:color="auto" w:fill="FFFFFF"/>
              </w:rPr>
              <w:t>年</w:t>
            </w:r>
            <w:r>
              <w:rPr>
                <w:rFonts w:hint="eastAsia" w:ascii="宋体" w:hAnsi="宋体" w:eastAsia="宋体" w:cs="宋体"/>
                <w:color w:val="auto"/>
                <w:szCs w:val="21"/>
                <w:highlight w:val="none"/>
                <w:shd w:val="clear" w:color="auto" w:fill="FFFFFF"/>
                <w:lang w:val="en-US" w:eastAsia="zh-CN"/>
              </w:rPr>
              <w:t>7</w:t>
            </w:r>
            <w:r>
              <w:rPr>
                <w:rFonts w:hint="eastAsia" w:ascii="宋体" w:hAnsi="宋体" w:eastAsia="宋体" w:cs="宋体"/>
                <w:color w:val="auto"/>
                <w:szCs w:val="21"/>
                <w:highlight w:val="none"/>
                <w:shd w:val="clear" w:color="auto" w:fill="FFFFFF"/>
              </w:rPr>
              <w:t>月</w:t>
            </w:r>
            <w:r>
              <w:rPr>
                <w:rFonts w:hint="eastAsia" w:ascii="宋体" w:hAnsi="宋体" w:eastAsia="宋体" w:cs="宋体"/>
                <w:color w:val="auto"/>
                <w:szCs w:val="21"/>
                <w:highlight w:val="none"/>
                <w:shd w:val="clear" w:color="auto" w:fill="FFFFFF"/>
                <w:lang w:val="en-US" w:eastAsia="zh-CN"/>
              </w:rPr>
              <w:t>7</w:t>
            </w:r>
            <w:r>
              <w:rPr>
                <w:rFonts w:hint="eastAsia" w:ascii="宋体" w:hAnsi="宋体" w:eastAsia="宋体" w:cs="宋体"/>
                <w:color w:val="auto"/>
                <w:szCs w:val="21"/>
                <w:highlight w:val="none"/>
                <w:shd w:val="clear" w:color="auto" w:fill="FFFFFF"/>
              </w:rPr>
              <w:t>日</w:t>
            </w:r>
            <w:r>
              <w:rPr>
                <w:rFonts w:hint="eastAsia" w:ascii="宋体" w:hAnsi="宋体" w:eastAsia="宋体" w:cs="宋体"/>
                <w:color w:val="auto"/>
                <w:szCs w:val="21"/>
                <w:highlight w:val="none"/>
                <w:shd w:val="clear" w:color="auto" w:fill="FFFFFF"/>
                <w:lang w:val="en-US" w:eastAsia="zh-CN"/>
              </w:rPr>
              <w:t>下午15：30；</w:t>
            </w:r>
          </w:p>
        </w:tc>
      </w:tr>
      <w:tr w14:paraId="1734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14:paraId="5A4673C0">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开标时间、地点</w:t>
            </w:r>
          </w:p>
        </w:tc>
        <w:tc>
          <w:tcPr>
            <w:tcW w:w="7766" w:type="dxa"/>
            <w:gridSpan w:val="3"/>
            <w:vAlign w:val="center"/>
          </w:tcPr>
          <w:p w14:paraId="31F8983E">
            <w:pPr>
              <w:adjustRightInd w:val="0"/>
              <w:snapToGrid w:val="0"/>
              <w:spacing w:line="400" w:lineRule="exact"/>
              <w:rPr>
                <w:rFonts w:hint="eastAsia" w:ascii="宋体" w:hAnsi="宋体" w:eastAsia="宋体" w:cs="宋体"/>
                <w:color w:val="auto"/>
                <w:szCs w:val="21"/>
                <w:highlight w:val="none"/>
                <w:shd w:val="clear" w:color="auto" w:fill="FFFFFF"/>
                <w:lang w:eastAsia="zh-CN"/>
              </w:rPr>
            </w:pPr>
            <w:r>
              <w:rPr>
                <w:rFonts w:hint="eastAsia" w:ascii="宋体" w:hAnsi="宋体" w:eastAsia="宋体" w:cs="宋体"/>
                <w:color w:val="auto"/>
                <w:szCs w:val="21"/>
                <w:highlight w:val="none"/>
                <w:shd w:val="clear" w:color="auto" w:fill="FFFFFF"/>
              </w:rPr>
              <w:t>时  间：</w:t>
            </w:r>
            <w:r>
              <w:rPr>
                <w:rFonts w:hint="eastAsia" w:ascii="宋体" w:hAnsi="宋体" w:eastAsia="宋体" w:cs="宋体"/>
                <w:color w:val="auto"/>
                <w:szCs w:val="21"/>
                <w:highlight w:val="none"/>
                <w:shd w:val="clear" w:color="auto" w:fill="FFFFFF"/>
                <w:lang w:val="en-US" w:eastAsia="zh-CN"/>
              </w:rPr>
              <w:t>2025</w:t>
            </w:r>
            <w:r>
              <w:rPr>
                <w:rFonts w:hint="eastAsia" w:ascii="宋体" w:hAnsi="宋体" w:eastAsia="宋体" w:cs="宋体"/>
                <w:color w:val="auto"/>
                <w:szCs w:val="21"/>
                <w:highlight w:val="none"/>
                <w:shd w:val="clear" w:color="auto" w:fill="FFFFFF"/>
              </w:rPr>
              <w:t>年</w:t>
            </w:r>
            <w:r>
              <w:rPr>
                <w:rFonts w:hint="eastAsia" w:ascii="宋体" w:hAnsi="宋体" w:eastAsia="宋体" w:cs="宋体"/>
                <w:color w:val="auto"/>
                <w:szCs w:val="21"/>
                <w:highlight w:val="none"/>
                <w:shd w:val="clear" w:color="auto" w:fill="FFFFFF"/>
                <w:lang w:val="en-US" w:eastAsia="zh-CN"/>
              </w:rPr>
              <w:t>7</w:t>
            </w:r>
            <w:r>
              <w:rPr>
                <w:rFonts w:hint="eastAsia" w:ascii="宋体" w:hAnsi="宋体" w:eastAsia="宋体" w:cs="宋体"/>
                <w:color w:val="auto"/>
                <w:szCs w:val="21"/>
                <w:highlight w:val="none"/>
                <w:shd w:val="clear" w:color="auto" w:fill="FFFFFF"/>
              </w:rPr>
              <w:t>月</w:t>
            </w:r>
            <w:r>
              <w:rPr>
                <w:rFonts w:hint="eastAsia" w:ascii="宋体" w:hAnsi="宋体" w:eastAsia="宋体" w:cs="宋体"/>
                <w:color w:val="auto"/>
                <w:szCs w:val="21"/>
                <w:highlight w:val="none"/>
                <w:shd w:val="clear" w:color="auto" w:fill="FFFFFF"/>
                <w:lang w:val="en-US" w:eastAsia="zh-CN"/>
              </w:rPr>
              <w:t>7</w:t>
            </w:r>
            <w:bookmarkStart w:id="73" w:name="_GoBack"/>
            <w:bookmarkEnd w:id="73"/>
            <w:r>
              <w:rPr>
                <w:rFonts w:hint="eastAsia" w:ascii="宋体" w:hAnsi="宋体" w:eastAsia="宋体" w:cs="宋体"/>
                <w:color w:val="auto"/>
                <w:szCs w:val="21"/>
                <w:highlight w:val="none"/>
                <w:shd w:val="clear" w:color="auto" w:fill="FFFFFF"/>
              </w:rPr>
              <w:t>日</w:t>
            </w:r>
            <w:r>
              <w:rPr>
                <w:rFonts w:hint="eastAsia" w:ascii="宋体" w:hAnsi="宋体" w:eastAsia="宋体" w:cs="宋体"/>
                <w:color w:val="auto"/>
                <w:szCs w:val="21"/>
                <w:highlight w:val="none"/>
                <w:shd w:val="clear" w:color="auto" w:fill="FFFFFF"/>
                <w:lang w:val="en-US" w:eastAsia="zh-CN"/>
              </w:rPr>
              <w:t>下午15：30</w:t>
            </w:r>
            <w:r>
              <w:rPr>
                <w:rFonts w:hint="eastAsia" w:ascii="宋体" w:hAnsi="宋体" w:eastAsia="宋体" w:cs="宋体"/>
                <w:color w:val="auto"/>
                <w:szCs w:val="21"/>
                <w:highlight w:val="none"/>
                <w:shd w:val="clear" w:color="auto" w:fill="FFFFFF"/>
                <w:lang w:eastAsia="zh-CN"/>
              </w:rPr>
              <w:t>；</w:t>
            </w:r>
          </w:p>
          <w:p w14:paraId="2CC25DCF">
            <w:pPr>
              <w:adjustRightInd w:val="0"/>
              <w:snapToGrid w:val="0"/>
              <w:spacing w:line="400" w:lineRule="exact"/>
              <w:rPr>
                <w:rFonts w:ascii="宋体" w:hAnsi="宋体" w:eastAsia="宋体" w:cs="宋体"/>
                <w:color w:val="auto"/>
                <w:szCs w:val="21"/>
                <w:highlight w:val="none"/>
                <w:shd w:val="clear" w:color="auto" w:fill="FFFFFF"/>
              </w:rPr>
            </w:pPr>
            <w:r>
              <w:rPr>
                <w:rFonts w:hint="eastAsia" w:ascii="宋体" w:hAnsi="宋体" w:eastAsia="宋体" w:cs="宋体"/>
                <w:color w:val="auto"/>
                <w:szCs w:val="21"/>
                <w:highlight w:val="none"/>
                <w:shd w:val="clear" w:color="auto" w:fill="FFFFFF"/>
              </w:rPr>
              <w:t>地  点：</w:t>
            </w:r>
            <w:r>
              <w:rPr>
                <w:rFonts w:hint="eastAsia" w:ascii="宋体" w:hAnsi="宋体" w:eastAsia="宋体" w:cs="宋体"/>
                <w:color w:val="auto"/>
                <w:szCs w:val="21"/>
                <w:highlight w:val="none"/>
                <w:shd w:val="clear" w:color="auto" w:fill="FFFFFF"/>
                <w:lang w:eastAsia="zh-CN"/>
              </w:rPr>
              <w:t>南京中信工程造价有限公司</w:t>
            </w:r>
            <w:r>
              <w:rPr>
                <w:rFonts w:hint="eastAsia" w:ascii="宋体" w:hAnsi="宋体" w:eastAsia="宋体" w:cs="宋体"/>
                <w:color w:val="auto"/>
                <w:szCs w:val="21"/>
                <w:highlight w:val="none"/>
                <w:shd w:val="clear" w:color="auto" w:fill="FFFFFF"/>
              </w:rPr>
              <w:t>开标室（</w:t>
            </w:r>
            <w:r>
              <w:rPr>
                <w:rFonts w:hint="eastAsia" w:ascii="宋体" w:hAnsi="宋体" w:eastAsia="宋体" w:cs="宋体"/>
                <w:color w:val="auto"/>
                <w:szCs w:val="21"/>
                <w:highlight w:val="none"/>
                <w:shd w:val="clear" w:color="auto" w:fill="FFFFFF"/>
                <w:lang w:eastAsia="zh-CN"/>
              </w:rPr>
              <w:t>常州市金坛区</w:t>
            </w:r>
            <w:r>
              <w:rPr>
                <w:rFonts w:hint="eastAsia" w:ascii="宋体" w:hAnsi="宋体" w:eastAsia="宋体" w:cs="宋体"/>
                <w:color w:val="auto"/>
                <w:szCs w:val="21"/>
                <w:highlight w:val="none"/>
                <w:shd w:val="clear" w:color="auto" w:fill="FFFFFF"/>
                <w:lang w:val="en-US" w:eastAsia="zh-CN"/>
              </w:rPr>
              <w:t>左邻右里44栋201</w:t>
            </w:r>
            <w:r>
              <w:rPr>
                <w:rFonts w:hint="eastAsia" w:ascii="宋体" w:hAnsi="宋体" w:eastAsia="宋体" w:cs="宋体"/>
                <w:color w:val="auto"/>
                <w:szCs w:val="21"/>
                <w:highlight w:val="none"/>
                <w:shd w:val="clear" w:color="auto" w:fill="FFFFFF"/>
              </w:rPr>
              <w:t>）。</w:t>
            </w:r>
          </w:p>
        </w:tc>
      </w:tr>
      <w:tr w14:paraId="167B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14:paraId="58A07140">
            <w:pPr>
              <w:adjustRightInd w:val="0"/>
              <w:snapToGrid w:val="0"/>
              <w:spacing w:line="400" w:lineRule="exact"/>
              <w:jc w:val="center"/>
              <w:rPr>
                <w:rFonts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rPr>
              <w:t>控制价</w:t>
            </w:r>
          </w:p>
        </w:tc>
        <w:tc>
          <w:tcPr>
            <w:tcW w:w="7766" w:type="dxa"/>
            <w:gridSpan w:val="3"/>
            <w:vAlign w:val="center"/>
          </w:tcPr>
          <w:p w14:paraId="610097D0">
            <w:pPr>
              <w:widowControl/>
              <w:jc w:val="both"/>
              <w:rPr>
                <w:rFonts w:hint="eastAsia" w:ascii="宋体" w:hAnsi="宋体" w:eastAsia="宋体" w:cs="宋体"/>
                <w:snapToGrid w:val="0"/>
                <w:color w:val="auto"/>
                <w:szCs w:val="21"/>
                <w:highlight w:val="none"/>
                <w:lang w:eastAsia="zh-CN"/>
              </w:rPr>
            </w:pPr>
            <w:r>
              <w:rPr>
                <w:rFonts w:hint="eastAsia" w:ascii="宋体" w:hAnsi="宋体" w:eastAsia="宋体" w:cs="Times New Roman"/>
                <w:color w:val="auto"/>
                <w:szCs w:val="21"/>
                <w:highlight w:val="none"/>
                <w:lang w:val="en-US" w:eastAsia="zh-CN"/>
              </w:rPr>
              <w:t>49919.41</w:t>
            </w:r>
            <w:r>
              <w:rPr>
                <w:rFonts w:hint="eastAsia" w:ascii="宋体" w:hAnsi="宋体" w:eastAsia="宋体" w:cs="Times New Roman"/>
                <w:color w:val="auto"/>
                <w:szCs w:val="21"/>
                <w:highlight w:val="none"/>
                <w:lang w:eastAsia="zh-CN"/>
              </w:rPr>
              <w:t>元，</w:t>
            </w:r>
            <w:r>
              <w:rPr>
                <w:rFonts w:hint="eastAsia" w:ascii="宋体" w:hAnsi="宋体" w:eastAsia="宋体" w:cs="Times New Roman"/>
                <w:color w:val="auto"/>
                <w:szCs w:val="21"/>
                <w:highlight w:val="none"/>
              </w:rPr>
              <w:t>投标报价超过控制价或任一项目综合单价为0、负数、超过控制单价或缺项者均作无效标处理</w:t>
            </w:r>
            <w:r>
              <w:rPr>
                <w:rFonts w:hint="eastAsia" w:ascii="宋体" w:hAnsi="宋体" w:eastAsia="宋体" w:cs="Times New Roman"/>
                <w:color w:val="auto"/>
                <w:szCs w:val="21"/>
                <w:highlight w:val="none"/>
                <w:lang w:eastAsia="zh-CN"/>
              </w:rPr>
              <w:t>。</w:t>
            </w:r>
          </w:p>
        </w:tc>
      </w:tr>
      <w:tr w14:paraId="14191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14:paraId="01646D81">
            <w:pPr>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snapToGrid w:val="0"/>
                <w:color w:val="auto"/>
                <w:szCs w:val="21"/>
              </w:rPr>
              <w:t>评标办法</w:t>
            </w:r>
          </w:p>
        </w:tc>
        <w:tc>
          <w:tcPr>
            <w:tcW w:w="7766" w:type="dxa"/>
            <w:gridSpan w:val="3"/>
            <w:vAlign w:val="center"/>
          </w:tcPr>
          <w:p w14:paraId="65ECC305">
            <w:pPr>
              <w:adjustRightInd w:val="0"/>
              <w:snapToGrid w:val="0"/>
              <w:spacing w:line="400" w:lineRule="exact"/>
              <w:rPr>
                <w:rFonts w:hint="eastAsia" w:ascii="宋体" w:hAnsi="宋体" w:eastAsia="宋体" w:cs="宋体"/>
                <w:snapToGrid w:val="0"/>
                <w:color w:val="auto"/>
                <w:szCs w:val="21"/>
                <w:lang w:eastAsia="zh-CN"/>
              </w:rPr>
            </w:pPr>
            <w:r>
              <w:rPr>
                <w:rFonts w:hint="eastAsia" w:ascii="宋体" w:hAnsi="宋体" w:eastAsia="宋体" w:cs="宋体"/>
                <w:color w:val="auto"/>
                <w:szCs w:val="21"/>
              </w:rPr>
              <w:t>具体详见本招标文件第五章</w:t>
            </w:r>
            <w:r>
              <w:rPr>
                <w:rFonts w:hint="eastAsia" w:ascii="宋体" w:hAnsi="宋体" w:eastAsia="宋体" w:cs="宋体"/>
                <w:color w:val="auto"/>
                <w:szCs w:val="21"/>
                <w:lang w:eastAsia="zh-CN"/>
              </w:rPr>
              <w:t>。</w:t>
            </w:r>
          </w:p>
        </w:tc>
      </w:tr>
      <w:tr w14:paraId="6F0DC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14:paraId="48D4FE67">
            <w:pPr>
              <w:spacing w:line="400" w:lineRule="exact"/>
              <w:ind w:firstLine="210" w:firstLineChars="100"/>
              <w:rPr>
                <w:rFonts w:ascii="宋体" w:hAnsi="宋体" w:eastAsia="宋体" w:cs="宋体"/>
                <w:bCs/>
                <w:color w:val="auto"/>
                <w:szCs w:val="21"/>
              </w:rPr>
            </w:pPr>
            <w:r>
              <w:rPr>
                <w:rFonts w:hint="eastAsia" w:ascii="宋体" w:hAnsi="宋体" w:eastAsia="宋体" w:cs="宋体"/>
                <w:bCs/>
                <w:color w:val="auto"/>
                <w:szCs w:val="21"/>
              </w:rPr>
              <w:t>履约保证金</w:t>
            </w:r>
          </w:p>
        </w:tc>
        <w:tc>
          <w:tcPr>
            <w:tcW w:w="7766" w:type="dxa"/>
            <w:gridSpan w:val="3"/>
            <w:vAlign w:val="center"/>
          </w:tcPr>
          <w:p w14:paraId="6F0A99FD">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合同价款的10%（现金），合同签订前交至甲方指定账户，工程竣工验收合格后一次性退还（不计息）。</w:t>
            </w:r>
          </w:p>
          <w:p w14:paraId="3E528F00">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中标供应商必须将履约保证金从公司基本账户按规定方式和时间缴至指定帐户并到帐，拒绝以其它方式缴纳</w:t>
            </w:r>
            <w:r>
              <w:rPr>
                <w:rFonts w:hint="eastAsia" w:ascii="宋体" w:hAnsi="宋体" w:eastAsia="宋体" w:cs="宋体"/>
                <w:b/>
                <w:bCs/>
                <w:color w:val="auto"/>
                <w:szCs w:val="21"/>
              </w:rPr>
              <w:t>（请备注工程名称）</w:t>
            </w:r>
            <w:r>
              <w:rPr>
                <w:rFonts w:hint="eastAsia" w:ascii="宋体" w:hAnsi="宋体" w:eastAsia="宋体" w:cs="宋体"/>
                <w:color w:val="auto"/>
                <w:szCs w:val="21"/>
              </w:rPr>
              <w:t>。</w:t>
            </w:r>
          </w:p>
        </w:tc>
      </w:tr>
      <w:tr w14:paraId="287E0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14:paraId="1FAAE773">
            <w:pPr>
              <w:adjustRightInd w:val="0"/>
              <w:snapToGrid w:val="0"/>
              <w:spacing w:line="400" w:lineRule="exact"/>
              <w:jc w:val="center"/>
              <w:rPr>
                <w:rFonts w:ascii="宋体" w:hAnsi="宋体" w:eastAsia="宋体" w:cs="宋体"/>
                <w:color w:val="auto"/>
                <w:szCs w:val="21"/>
              </w:rPr>
            </w:pPr>
            <w:r>
              <w:rPr>
                <w:rFonts w:hint="eastAsia" w:ascii="宋体" w:hAnsi="宋体" w:eastAsia="宋体" w:cs="宋体"/>
                <w:color w:val="auto"/>
                <w:szCs w:val="21"/>
              </w:rPr>
              <w:t>注意事项</w:t>
            </w:r>
          </w:p>
        </w:tc>
        <w:tc>
          <w:tcPr>
            <w:tcW w:w="7766" w:type="dxa"/>
            <w:gridSpan w:val="3"/>
          </w:tcPr>
          <w:p w14:paraId="03A9A574">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1、如法定代表人出席开标会，需手持法定代表人资格证明书原件（除投标书中另外单独手持一份）、本人第二代身份证原件及投标保证金出席开标会，否则招标人将拒绝其投标；</w:t>
            </w:r>
          </w:p>
          <w:p w14:paraId="11842E5F">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2、如委托代理人参加开标会，需手持法定代表人授权委托书原件（除投标书中另外单独手持一份）、本人第二代身份证原件及投标保证金准时参加开标会议，否则招标人将拒绝其投标。</w:t>
            </w:r>
          </w:p>
          <w:p w14:paraId="7B4B2C8A">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3、以上参加人员在开标时间截止时有下列情形之一的，视为自动放弃投标处理，招标人不予受理：</w:t>
            </w:r>
          </w:p>
          <w:p w14:paraId="5D607662">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1）未到达开标现场的；</w:t>
            </w:r>
          </w:p>
          <w:p w14:paraId="7297DBBA">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2）未参加投标签到的；</w:t>
            </w:r>
          </w:p>
          <w:p w14:paraId="3706B66A">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3）身份核验时未能提供身份证明、授权委托书、投标保证金等相关材料的。</w:t>
            </w:r>
          </w:p>
          <w:p w14:paraId="5E1DBA1B">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4、关于结算审核费：本工程结算审核的核减费费率控制在8%内（含8%）。如12%≥核减费费率＞8%时，审核费用乙方必须承担全部审计费用的一半；核减费费率＞12%时，该工程所有审计费均由乙方承担。</w:t>
            </w:r>
          </w:p>
          <w:p w14:paraId="76940802">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5、所有垃圾清理外运：建筑垃圾处理执行《常州市金坛区建筑垃圾收集运输和处置管理规定》（详见坛政规【2024】3号文）。 施工现场建筑垃圾管理的相关措施须符合《关于进一步加强建筑垃圾管理工作的实施方案》（常政办发〔2024〕17号）文件要求，相关费用包含在投标报价中。</w:t>
            </w:r>
          </w:p>
          <w:p w14:paraId="1DBBC890">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6、施工过程中扬尘、噪音控制等需符合相关文件规定费用各投标单位在投标报价中自行考虑，不再另行结算。</w:t>
            </w:r>
          </w:p>
          <w:p w14:paraId="377F941E">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7、本项目服务费为</w:t>
            </w:r>
            <w:r>
              <w:rPr>
                <w:rFonts w:hint="eastAsia" w:ascii="宋体" w:hAnsi="宋体" w:eastAsia="宋体" w:cs="宋体"/>
                <w:color w:val="auto"/>
                <w:szCs w:val="21"/>
                <w:lang w:val="en-US" w:eastAsia="zh-CN"/>
              </w:rPr>
              <w:t>1500</w:t>
            </w:r>
            <w:r>
              <w:rPr>
                <w:rFonts w:hint="eastAsia" w:ascii="宋体" w:hAnsi="宋体" w:eastAsia="宋体" w:cs="宋体"/>
                <w:color w:val="auto"/>
                <w:szCs w:val="21"/>
              </w:rPr>
              <w:t>元，由中标单位在领取中标通知书时，以现金形式一次性支付给采购代理单位，各投标单位在投标报价时综合考虑。</w:t>
            </w:r>
          </w:p>
          <w:p w14:paraId="5D117E67">
            <w:pPr>
              <w:adjustRightInd w:val="0"/>
              <w:snapToGrid w:val="0"/>
              <w:spacing w:line="400" w:lineRule="exact"/>
              <w:rPr>
                <w:rFonts w:ascii="宋体" w:hAnsi="宋体" w:eastAsia="宋体" w:cs="宋体"/>
                <w:color w:val="auto"/>
                <w:szCs w:val="21"/>
              </w:rPr>
            </w:pPr>
            <w:r>
              <w:rPr>
                <w:rFonts w:hint="eastAsia" w:ascii="宋体" w:hAnsi="宋体" w:eastAsia="宋体" w:cs="宋体"/>
                <w:color w:val="auto"/>
                <w:szCs w:val="21"/>
              </w:rPr>
              <w:t>8、各投标单位投标时报价不得超过招标控制总价；各分部分项工程综合单价均不得超过控制价中对应综合单价。</w:t>
            </w:r>
          </w:p>
        </w:tc>
      </w:tr>
    </w:tbl>
    <w:p w14:paraId="2AB9976A">
      <w:pPr>
        <w:adjustRightInd w:val="0"/>
        <w:snapToGrid w:val="0"/>
        <w:spacing w:line="400" w:lineRule="exact"/>
        <w:jc w:val="center"/>
        <w:rPr>
          <w:rFonts w:ascii="宋体" w:hAnsi="宋体" w:eastAsia="宋体" w:cs="Times New Roman"/>
          <w:b/>
          <w:bCs/>
          <w:snapToGrid w:val="0"/>
          <w:color w:val="auto"/>
          <w:sz w:val="28"/>
          <w:szCs w:val="28"/>
        </w:rPr>
      </w:pPr>
      <w:r>
        <w:rPr>
          <w:rFonts w:hint="eastAsia" w:ascii="宋体" w:hAnsi="宋体" w:eastAsia="宋体" w:cs="Times New Roman"/>
          <w:b/>
          <w:bCs/>
          <w:snapToGrid w:val="0"/>
          <w:color w:val="auto"/>
          <w:sz w:val="24"/>
        </w:rPr>
        <w:br w:type="page"/>
      </w:r>
      <w:r>
        <w:rPr>
          <w:rFonts w:hint="eastAsia" w:ascii="宋体" w:hAnsi="宋体" w:eastAsia="宋体" w:cs="Times New Roman"/>
          <w:b/>
          <w:bCs/>
          <w:snapToGrid w:val="0"/>
          <w:color w:val="auto"/>
          <w:sz w:val="28"/>
          <w:szCs w:val="28"/>
        </w:rPr>
        <w:t>一、总 则</w:t>
      </w:r>
    </w:p>
    <w:p w14:paraId="10AD5C79">
      <w:pPr>
        <w:adjustRightInd w:val="0"/>
        <w:snapToGrid w:val="0"/>
        <w:spacing w:line="400" w:lineRule="exact"/>
        <w:ind w:firstLine="240"/>
        <w:rPr>
          <w:rFonts w:ascii="宋体" w:hAnsi="宋体" w:eastAsia="宋体" w:cs="宋体"/>
          <w:snapToGrid w:val="0"/>
          <w:color w:val="auto"/>
          <w:szCs w:val="21"/>
        </w:rPr>
      </w:pPr>
      <w:r>
        <w:rPr>
          <w:rFonts w:hint="eastAsia" w:ascii="宋体" w:hAnsi="宋体" w:eastAsia="宋体" w:cs="宋体"/>
          <w:snapToGrid w:val="0"/>
          <w:color w:val="auto"/>
          <w:szCs w:val="21"/>
        </w:rPr>
        <w:t>（一）工程概况</w:t>
      </w:r>
    </w:p>
    <w:p w14:paraId="443ACA73">
      <w:pPr>
        <w:adjustRightInd w:val="0"/>
        <w:snapToGrid w:val="0"/>
        <w:spacing w:line="400" w:lineRule="exact"/>
        <w:ind w:firstLine="697" w:firstLineChars="332"/>
        <w:rPr>
          <w:rFonts w:ascii="宋体" w:hAnsi="宋体" w:eastAsia="宋体" w:cs="宋体"/>
          <w:snapToGrid w:val="0"/>
          <w:color w:val="auto"/>
          <w:szCs w:val="21"/>
        </w:rPr>
      </w:pPr>
      <w:r>
        <w:rPr>
          <w:rFonts w:hint="eastAsia" w:ascii="宋体" w:hAnsi="宋体" w:eastAsia="宋体" w:cs="宋体"/>
          <w:snapToGrid w:val="0"/>
          <w:color w:val="auto"/>
          <w:szCs w:val="21"/>
        </w:rPr>
        <w:t>1、现场施工条件</w:t>
      </w:r>
    </w:p>
    <w:p w14:paraId="0E127E82">
      <w:pPr>
        <w:adjustRightInd w:val="0"/>
        <w:snapToGrid w:val="0"/>
        <w:spacing w:line="400" w:lineRule="exact"/>
        <w:rPr>
          <w:rFonts w:ascii="宋体" w:hAnsi="宋体" w:eastAsia="宋体" w:cs="宋体"/>
          <w:snapToGrid w:val="0"/>
          <w:color w:val="auto"/>
          <w:szCs w:val="21"/>
          <w:u w:val="single"/>
        </w:rPr>
      </w:pPr>
      <w:r>
        <w:rPr>
          <w:rFonts w:hint="eastAsia" w:ascii="宋体" w:hAnsi="宋体" w:eastAsia="宋体" w:cs="宋体"/>
          <w:snapToGrid w:val="0"/>
          <w:color w:val="auto"/>
          <w:szCs w:val="21"/>
        </w:rPr>
        <w:t xml:space="preserve">         (1)建设用地面积</w:t>
      </w:r>
      <w:r>
        <w:rPr>
          <w:rFonts w:hint="eastAsia" w:ascii="宋体" w:hAnsi="宋体" w:eastAsia="宋体" w:cs="宋体"/>
          <w:snapToGrid w:val="0"/>
          <w:color w:val="auto"/>
          <w:szCs w:val="21"/>
          <w:u w:val="single"/>
        </w:rPr>
        <w:t xml:space="preserve">         已批准           </w:t>
      </w:r>
      <w:r>
        <w:rPr>
          <w:rFonts w:hint="eastAsia" w:ascii="宋体" w:hAnsi="宋体" w:eastAsia="宋体" w:cs="宋体"/>
          <w:snapToGrid w:val="0"/>
          <w:color w:val="auto"/>
          <w:szCs w:val="21"/>
        </w:rPr>
        <w:t>；</w:t>
      </w:r>
    </w:p>
    <w:p w14:paraId="2BDB164F">
      <w:pPr>
        <w:adjustRightInd w:val="0"/>
        <w:snapToGrid w:val="0"/>
        <w:spacing w:line="400" w:lineRule="exact"/>
        <w:rPr>
          <w:rFonts w:ascii="宋体" w:hAnsi="宋体" w:eastAsia="宋体" w:cs="宋体"/>
          <w:snapToGrid w:val="0"/>
          <w:color w:val="auto"/>
          <w:szCs w:val="21"/>
          <w:u w:val="single"/>
        </w:rPr>
      </w:pPr>
      <w:r>
        <w:rPr>
          <w:rFonts w:hint="eastAsia" w:ascii="宋体" w:hAnsi="宋体" w:eastAsia="宋体" w:cs="宋体"/>
          <w:snapToGrid w:val="0"/>
          <w:color w:val="auto"/>
          <w:szCs w:val="21"/>
        </w:rPr>
        <w:t xml:space="preserve">         (2)场地拆迁及平整情况</w:t>
      </w:r>
      <w:r>
        <w:rPr>
          <w:rFonts w:hint="eastAsia" w:ascii="宋体" w:hAnsi="宋体" w:eastAsia="宋体" w:cs="宋体"/>
          <w:snapToGrid w:val="0"/>
          <w:color w:val="auto"/>
          <w:szCs w:val="21"/>
          <w:u w:val="single"/>
        </w:rPr>
        <w:t xml:space="preserve">   已完成           </w:t>
      </w:r>
      <w:r>
        <w:rPr>
          <w:rFonts w:hint="eastAsia" w:ascii="宋体" w:hAnsi="宋体" w:eastAsia="宋体" w:cs="宋体"/>
          <w:snapToGrid w:val="0"/>
          <w:color w:val="auto"/>
          <w:szCs w:val="21"/>
        </w:rPr>
        <w:t>；</w:t>
      </w:r>
    </w:p>
    <w:p w14:paraId="0A8ADEFC">
      <w:pPr>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 xml:space="preserve">         (3)施工用水、电</w:t>
      </w:r>
      <w:r>
        <w:rPr>
          <w:rFonts w:hint="eastAsia" w:ascii="宋体" w:hAnsi="宋体" w:eastAsia="宋体" w:cs="宋体"/>
          <w:snapToGrid w:val="0"/>
          <w:color w:val="auto"/>
          <w:szCs w:val="21"/>
          <w:u w:val="single"/>
        </w:rPr>
        <w:t xml:space="preserve">         已接通           </w:t>
      </w:r>
      <w:r>
        <w:rPr>
          <w:rFonts w:hint="eastAsia" w:ascii="宋体" w:hAnsi="宋体" w:eastAsia="宋体" w:cs="宋体"/>
          <w:snapToGrid w:val="0"/>
          <w:color w:val="auto"/>
          <w:szCs w:val="21"/>
        </w:rPr>
        <w:t>；</w:t>
      </w:r>
    </w:p>
    <w:p w14:paraId="44B4AA11">
      <w:pPr>
        <w:adjustRightInd w:val="0"/>
        <w:snapToGrid w:val="0"/>
        <w:spacing w:line="400" w:lineRule="exact"/>
        <w:rPr>
          <w:rFonts w:ascii="宋体" w:hAnsi="宋体" w:eastAsia="宋体" w:cs="宋体"/>
          <w:snapToGrid w:val="0"/>
          <w:color w:val="auto"/>
          <w:szCs w:val="21"/>
          <w:u w:val="single"/>
        </w:rPr>
      </w:pPr>
      <w:r>
        <w:rPr>
          <w:rFonts w:hint="eastAsia" w:ascii="宋体" w:hAnsi="宋体" w:eastAsia="宋体" w:cs="宋体"/>
          <w:snapToGrid w:val="0"/>
          <w:color w:val="auto"/>
          <w:szCs w:val="21"/>
        </w:rPr>
        <w:t xml:space="preserve">         (4)有关勘探资料</w:t>
      </w:r>
      <w:r>
        <w:rPr>
          <w:rFonts w:hint="eastAsia" w:ascii="宋体" w:hAnsi="宋体" w:eastAsia="宋体" w:cs="宋体"/>
          <w:snapToGrid w:val="0"/>
          <w:color w:val="auto"/>
          <w:szCs w:val="21"/>
          <w:u w:val="single"/>
        </w:rPr>
        <w:t xml:space="preserve">         已完成           </w:t>
      </w:r>
      <w:r>
        <w:rPr>
          <w:rFonts w:hint="eastAsia" w:ascii="宋体" w:hAnsi="宋体" w:eastAsia="宋体" w:cs="宋体"/>
          <w:snapToGrid w:val="0"/>
          <w:color w:val="auto"/>
          <w:szCs w:val="21"/>
        </w:rPr>
        <w:t>；</w:t>
      </w:r>
    </w:p>
    <w:p w14:paraId="283AACC4">
      <w:pPr>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 xml:space="preserve">         (5)其它</w:t>
      </w:r>
      <w:r>
        <w:rPr>
          <w:rFonts w:hint="eastAsia" w:ascii="宋体" w:hAnsi="宋体" w:eastAsia="宋体" w:cs="宋体"/>
          <w:snapToGrid w:val="0"/>
          <w:color w:val="auto"/>
          <w:szCs w:val="21"/>
          <w:u w:val="single"/>
        </w:rPr>
        <w:t xml:space="preserve">                 无               </w:t>
      </w:r>
      <w:r>
        <w:rPr>
          <w:rFonts w:hint="eastAsia" w:ascii="宋体" w:hAnsi="宋体" w:eastAsia="宋体" w:cs="宋体"/>
          <w:snapToGrid w:val="0"/>
          <w:color w:val="auto"/>
          <w:szCs w:val="21"/>
        </w:rPr>
        <w:t>。</w:t>
      </w:r>
    </w:p>
    <w:p w14:paraId="58F934CD">
      <w:pPr>
        <w:numPr>
          <w:ilvl w:val="0"/>
          <w:numId w:val="1"/>
        </w:numPr>
        <w:adjustRightInd w:val="0"/>
        <w:snapToGrid w:val="0"/>
        <w:spacing w:line="400" w:lineRule="exact"/>
        <w:ind w:firstLine="703" w:firstLineChars="335"/>
        <w:rPr>
          <w:rFonts w:ascii="宋体" w:hAnsi="宋体" w:eastAsia="宋体" w:cs="宋体"/>
          <w:snapToGrid w:val="0"/>
          <w:color w:val="auto"/>
          <w:szCs w:val="21"/>
          <w:u w:val="single"/>
        </w:rPr>
      </w:pPr>
      <w:r>
        <w:rPr>
          <w:rFonts w:hint="eastAsia" w:ascii="宋体" w:hAnsi="宋体" w:eastAsia="宋体" w:cs="宋体"/>
          <w:snapToGrid w:val="0"/>
          <w:color w:val="auto"/>
          <w:szCs w:val="21"/>
        </w:rPr>
        <w:t>工程资金来源</w:t>
      </w:r>
      <w:r>
        <w:rPr>
          <w:rFonts w:hint="eastAsia" w:ascii="宋体" w:hAnsi="宋体" w:eastAsia="宋体" w:cs="宋体"/>
          <w:snapToGrid w:val="0"/>
          <w:color w:val="auto"/>
          <w:szCs w:val="21"/>
          <w:u w:val="single"/>
        </w:rPr>
        <w:t xml:space="preserve">           </w:t>
      </w:r>
      <w:r>
        <w:rPr>
          <w:rFonts w:hint="eastAsia" w:ascii="宋体" w:hAnsi="宋体" w:eastAsia="宋体" w:cs="宋体"/>
          <w:snapToGrid w:val="0"/>
          <w:color w:val="auto"/>
          <w:szCs w:val="21"/>
          <w:u w:val="single"/>
          <w:lang w:val="en-US" w:eastAsia="zh-CN"/>
        </w:rPr>
        <w:t xml:space="preserve"> </w:t>
      </w:r>
      <w:r>
        <w:rPr>
          <w:rFonts w:hint="eastAsia" w:ascii="宋体" w:hAnsi="宋体" w:eastAsia="宋体" w:cs="宋体"/>
          <w:snapToGrid w:val="0"/>
          <w:color w:val="auto"/>
          <w:szCs w:val="21"/>
          <w:u w:val="single"/>
        </w:rPr>
        <w:t xml:space="preserve"> </w:t>
      </w:r>
      <w:r>
        <w:rPr>
          <w:rFonts w:hint="eastAsia" w:ascii="宋体" w:hAnsi="宋体" w:eastAsia="宋体" w:cs="宋体"/>
          <w:snapToGrid w:val="0"/>
          <w:color w:val="auto"/>
          <w:szCs w:val="21"/>
          <w:u w:val="single"/>
          <w:lang w:eastAsia="zh-CN"/>
        </w:rPr>
        <w:t>自筹</w:t>
      </w:r>
      <w:r>
        <w:rPr>
          <w:rFonts w:hint="eastAsia" w:ascii="宋体" w:hAnsi="宋体" w:eastAsia="宋体" w:cs="宋体"/>
          <w:snapToGrid w:val="0"/>
          <w:color w:val="auto"/>
          <w:szCs w:val="21"/>
          <w:u w:val="single"/>
        </w:rPr>
        <w:t xml:space="preserve">           </w:t>
      </w:r>
      <w:r>
        <w:rPr>
          <w:rFonts w:hint="eastAsia" w:ascii="宋体" w:hAnsi="宋体" w:eastAsia="宋体" w:cs="宋体"/>
          <w:snapToGrid w:val="0"/>
          <w:color w:val="auto"/>
          <w:szCs w:val="21"/>
        </w:rPr>
        <w:t>。</w:t>
      </w:r>
    </w:p>
    <w:p w14:paraId="0E2BD05F">
      <w:pPr>
        <w:numPr>
          <w:ilvl w:val="0"/>
          <w:numId w:val="1"/>
        </w:numPr>
        <w:adjustRightInd w:val="0"/>
        <w:snapToGrid w:val="0"/>
        <w:spacing w:line="400" w:lineRule="exact"/>
        <w:ind w:firstLine="703" w:firstLineChars="335"/>
        <w:rPr>
          <w:rFonts w:ascii="宋体" w:hAnsi="宋体" w:eastAsia="宋体" w:cs="宋体"/>
          <w:snapToGrid w:val="0"/>
          <w:color w:val="auto"/>
          <w:szCs w:val="21"/>
          <w:u w:val="single"/>
        </w:rPr>
      </w:pPr>
      <w:r>
        <w:rPr>
          <w:rFonts w:hint="eastAsia" w:ascii="宋体" w:hAnsi="宋体" w:eastAsia="宋体" w:cs="宋体"/>
          <w:snapToGrid w:val="0"/>
          <w:color w:val="auto"/>
          <w:szCs w:val="21"/>
        </w:rPr>
        <w:t>工程资金落实情况</w:t>
      </w:r>
      <w:r>
        <w:rPr>
          <w:rFonts w:hint="eastAsia" w:ascii="宋体" w:hAnsi="宋体" w:eastAsia="宋体" w:cs="宋体"/>
          <w:snapToGrid w:val="0"/>
          <w:color w:val="auto"/>
          <w:szCs w:val="21"/>
          <w:u w:val="single"/>
        </w:rPr>
        <w:t xml:space="preserve">         已落实         </w:t>
      </w:r>
      <w:r>
        <w:rPr>
          <w:rFonts w:hint="eastAsia" w:ascii="宋体" w:hAnsi="宋体" w:eastAsia="宋体" w:cs="宋体"/>
          <w:snapToGrid w:val="0"/>
          <w:color w:val="auto"/>
          <w:szCs w:val="21"/>
        </w:rPr>
        <w:t>。</w:t>
      </w:r>
    </w:p>
    <w:p w14:paraId="14D6839C">
      <w:pPr>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 xml:space="preserve">  （二）投标费用                                                      </w:t>
      </w:r>
    </w:p>
    <w:p w14:paraId="18569DCA">
      <w:pPr>
        <w:adjustRightInd w:val="0"/>
        <w:snapToGrid w:val="0"/>
        <w:spacing w:line="400" w:lineRule="exact"/>
        <w:ind w:left="378" w:leftChars="180"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不管投标结果如何，承包人应承担其编制投标文件与递交投标文件所涉及的一切费用。</w:t>
      </w:r>
    </w:p>
    <w:p w14:paraId="0D2B3F50">
      <w:pPr>
        <w:adjustRightInd w:val="0"/>
        <w:snapToGrid w:val="0"/>
        <w:spacing w:line="400" w:lineRule="exact"/>
        <w:ind w:firstLine="210" w:firstLineChars="100"/>
        <w:rPr>
          <w:rFonts w:ascii="宋体" w:hAnsi="宋体" w:eastAsia="宋体" w:cs="宋体"/>
          <w:snapToGrid w:val="0"/>
          <w:color w:val="auto"/>
          <w:szCs w:val="21"/>
        </w:rPr>
      </w:pPr>
      <w:r>
        <w:rPr>
          <w:rFonts w:hint="eastAsia" w:ascii="宋体" w:hAnsi="宋体" w:eastAsia="宋体" w:cs="宋体"/>
          <w:snapToGrid w:val="0"/>
          <w:color w:val="auto"/>
          <w:szCs w:val="21"/>
        </w:rPr>
        <w:t>（三）本工程不接受联合体投标。</w:t>
      </w:r>
    </w:p>
    <w:p w14:paraId="1AA80C4B">
      <w:pPr>
        <w:adjustRightInd w:val="0"/>
        <w:snapToGrid w:val="0"/>
        <w:spacing w:line="400" w:lineRule="exact"/>
        <w:jc w:val="center"/>
        <w:rPr>
          <w:rFonts w:ascii="宋体" w:hAnsi="宋体" w:eastAsia="宋体" w:cs="宋体"/>
          <w:b/>
          <w:snapToGrid w:val="0"/>
          <w:color w:val="auto"/>
          <w:sz w:val="28"/>
          <w:szCs w:val="28"/>
        </w:rPr>
      </w:pPr>
      <w:r>
        <w:rPr>
          <w:rFonts w:hint="eastAsia" w:ascii="宋体" w:hAnsi="宋体" w:eastAsia="宋体" w:cs="宋体"/>
          <w:b/>
          <w:snapToGrid w:val="0"/>
          <w:color w:val="auto"/>
          <w:sz w:val="28"/>
          <w:szCs w:val="28"/>
        </w:rPr>
        <w:t>二、招标文件</w:t>
      </w:r>
    </w:p>
    <w:p w14:paraId="16A1514B">
      <w:pPr>
        <w:adjustRightInd w:val="0"/>
        <w:snapToGrid w:val="0"/>
        <w:spacing w:line="400" w:lineRule="exact"/>
        <w:ind w:firstLine="210" w:firstLineChars="100"/>
        <w:rPr>
          <w:rFonts w:ascii="宋体" w:hAnsi="宋体" w:eastAsia="宋体" w:cs="宋体"/>
          <w:snapToGrid w:val="0"/>
          <w:color w:val="auto"/>
          <w:szCs w:val="21"/>
        </w:rPr>
      </w:pPr>
      <w:r>
        <w:rPr>
          <w:rFonts w:hint="eastAsia" w:ascii="宋体" w:hAnsi="宋体" w:eastAsia="宋体" w:cs="宋体"/>
          <w:snapToGrid w:val="0"/>
          <w:color w:val="auto"/>
          <w:szCs w:val="21"/>
        </w:rPr>
        <w:t>（四）招标文件的组成</w:t>
      </w:r>
    </w:p>
    <w:p w14:paraId="7B0ACFC2">
      <w:pPr>
        <w:tabs>
          <w:tab w:val="left" w:pos="851"/>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1、招标文件包括本文件及所有按第(五)、（六）条发出的修改澄清通知。</w:t>
      </w:r>
    </w:p>
    <w:p w14:paraId="3B753B49">
      <w:pPr>
        <w:tabs>
          <w:tab w:val="left" w:pos="851"/>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2、承包人应认真审阅招标文件所有的内容，如果承包人的投标文件不能实质性地响应招标文件要求，责任由承包人自负。</w:t>
      </w:r>
    </w:p>
    <w:p w14:paraId="59C75A88">
      <w:pPr>
        <w:tabs>
          <w:tab w:val="left" w:pos="0"/>
          <w:tab w:val="left" w:pos="993"/>
          <w:tab w:val="left" w:pos="1134"/>
        </w:tabs>
        <w:adjustRightInd w:val="0"/>
        <w:snapToGrid w:val="0"/>
        <w:spacing w:line="400" w:lineRule="exact"/>
        <w:ind w:firstLine="240"/>
        <w:rPr>
          <w:rFonts w:ascii="宋体" w:hAnsi="宋体" w:eastAsia="宋体" w:cs="宋体"/>
          <w:snapToGrid w:val="0"/>
          <w:color w:val="auto"/>
          <w:szCs w:val="21"/>
        </w:rPr>
      </w:pPr>
      <w:r>
        <w:rPr>
          <w:rFonts w:hint="eastAsia" w:ascii="宋体" w:hAnsi="宋体" w:eastAsia="宋体" w:cs="宋体"/>
          <w:snapToGrid w:val="0"/>
          <w:color w:val="auto"/>
          <w:szCs w:val="21"/>
        </w:rPr>
        <w:t>（五）招标文件的澄清</w:t>
      </w:r>
    </w:p>
    <w:p w14:paraId="2F789266">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u w:val="single"/>
        </w:rPr>
      </w:pPr>
      <w:r>
        <w:rPr>
          <w:rFonts w:hint="eastAsia" w:ascii="宋体" w:hAnsi="宋体" w:eastAsia="宋体" w:cs="宋体"/>
          <w:snapToGrid w:val="0"/>
          <w:color w:val="auto"/>
          <w:szCs w:val="21"/>
        </w:rPr>
        <w:t>1、本工程招标文件的澄清采用下列第</w:t>
      </w:r>
      <w:r>
        <w:rPr>
          <w:rFonts w:hint="eastAsia" w:ascii="宋体" w:hAnsi="宋体" w:eastAsia="宋体" w:cs="宋体"/>
          <w:b/>
          <w:snapToGrid w:val="0"/>
          <w:color w:val="auto"/>
          <w:szCs w:val="21"/>
          <w:u w:val="single"/>
        </w:rPr>
        <w:t>（1）</w:t>
      </w:r>
      <w:r>
        <w:rPr>
          <w:rFonts w:hint="eastAsia" w:ascii="宋体" w:hAnsi="宋体" w:eastAsia="宋体" w:cs="宋体"/>
          <w:snapToGrid w:val="0"/>
          <w:color w:val="auto"/>
          <w:szCs w:val="21"/>
        </w:rPr>
        <w:t>种方式：</w:t>
      </w:r>
    </w:p>
    <w:p w14:paraId="679FCFCC">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(1)承包人在收到招标文件（含工程量清单）和踏勘现场后，若有疑问需要澄清，应于收到招标文件后</w:t>
      </w:r>
      <w:r>
        <w:rPr>
          <w:rFonts w:hint="eastAsia" w:ascii="宋体" w:hAnsi="宋体" w:eastAsia="宋体" w:cs="宋体"/>
          <w:b/>
          <w:snapToGrid w:val="0"/>
          <w:color w:val="auto"/>
          <w:szCs w:val="21"/>
          <w:u w:val="single"/>
        </w:rPr>
        <w:t xml:space="preserve"> 2 </w:t>
      </w:r>
      <w:r>
        <w:rPr>
          <w:rFonts w:hint="eastAsia" w:ascii="宋体" w:hAnsi="宋体" w:eastAsia="宋体" w:cs="宋体"/>
          <w:snapToGrid w:val="0"/>
          <w:color w:val="auto"/>
          <w:szCs w:val="21"/>
        </w:rPr>
        <w:t>日内以书面形式（包括书面文字、传真、电子邮件等）向招标人提出，招标人将以书面形式予以解答。</w:t>
      </w:r>
    </w:p>
    <w:p w14:paraId="5752A126">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14:paraId="3CDC0287">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2、所有问题的解答，将在</w:t>
      </w:r>
      <w:r>
        <w:rPr>
          <w:rFonts w:hint="eastAsia" w:ascii="宋体" w:hAnsi="宋体" w:eastAsia="宋体" w:cs="宋体"/>
          <w:b/>
          <w:snapToGrid w:val="0"/>
          <w:color w:val="auto"/>
          <w:szCs w:val="21"/>
          <w:u w:val="single"/>
        </w:rPr>
        <w:t xml:space="preserve"> 2 </w:t>
      </w:r>
      <w:r>
        <w:rPr>
          <w:rFonts w:hint="eastAsia" w:ascii="宋体" w:hAnsi="宋体" w:eastAsia="宋体" w:cs="宋体"/>
          <w:snapToGrid w:val="0"/>
          <w:color w:val="auto"/>
          <w:szCs w:val="21"/>
        </w:rPr>
        <w:t>日内提供给所有承包人。由此而产生的对招标文件内容的修改，以修改通知的方式发出。</w:t>
      </w:r>
    </w:p>
    <w:p w14:paraId="42BF76FA">
      <w:pPr>
        <w:tabs>
          <w:tab w:val="left" w:pos="0"/>
          <w:tab w:val="left" w:pos="993"/>
          <w:tab w:val="left" w:pos="1134"/>
        </w:tabs>
        <w:adjustRightInd w:val="0"/>
        <w:snapToGrid w:val="0"/>
        <w:spacing w:line="400" w:lineRule="exact"/>
        <w:ind w:firstLine="210" w:firstLineChars="100"/>
        <w:rPr>
          <w:rFonts w:ascii="宋体" w:hAnsi="宋体" w:eastAsia="宋体" w:cs="宋体"/>
          <w:snapToGrid w:val="0"/>
          <w:color w:val="auto"/>
          <w:szCs w:val="21"/>
        </w:rPr>
      </w:pPr>
      <w:r>
        <w:rPr>
          <w:rFonts w:hint="eastAsia" w:ascii="宋体" w:hAnsi="宋体" w:eastAsia="宋体" w:cs="宋体"/>
          <w:snapToGrid w:val="0"/>
          <w:color w:val="auto"/>
          <w:szCs w:val="21"/>
        </w:rPr>
        <w:t>（六）招标文件的修改</w:t>
      </w:r>
    </w:p>
    <w:p w14:paraId="63E624A0">
      <w:pPr>
        <w:tabs>
          <w:tab w:val="left" w:pos="709"/>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1、在投标截止日期</w:t>
      </w:r>
      <w:r>
        <w:rPr>
          <w:rFonts w:hint="eastAsia" w:ascii="宋体" w:hAnsi="宋体" w:eastAsia="宋体" w:cs="宋体"/>
          <w:b/>
          <w:snapToGrid w:val="0"/>
          <w:color w:val="auto"/>
          <w:szCs w:val="21"/>
          <w:u w:val="single"/>
        </w:rPr>
        <w:t>1</w:t>
      </w:r>
      <w:r>
        <w:rPr>
          <w:rFonts w:hint="eastAsia" w:ascii="宋体" w:hAnsi="宋体" w:eastAsia="宋体" w:cs="宋体"/>
          <w:snapToGrid w:val="0"/>
          <w:color w:val="auto"/>
          <w:szCs w:val="21"/>
        </w:rPr>
        <w:t>天前，招标人都可能会以书面通知的方式修改招标文件。修改通知作为招标文件的组成部分，对承包人起同等约束作用。</w:t>
      </w:r>
    </w:p>
    <w:p w14:paraId="00FB276F">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2、为使承包人在编制投标文件时把修改通知内容考虑进去，招标人可以酌情延长递交投标文件的截止日期。具体时间将在修改通知中写明，修改通知将送达每一承包人。</w:t>
      </w:r>
    </w:p>
    <w:p w14:paraId="53FCF78E">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3、当招标文件、修改通知内容相互矛盾时，以后发出的通知为准。</w:t>
      </w:r>
    </w:p>
    <w:p w14:paraId="3D13E2DF">
      <w:pPr>
        <w:tabs>
          <w:tab w:val="left" w:pos="0"/>
          <w:tab w:val="left" w:pos="1134"/>
        </w:tabs>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b/>
          <w:snapToGrid w:val="0"/>
          <w:color w:val="auto"/>
          <w:sz w:val="28"/>
          <w:szCs w:val="28"/>
        </w:rPr>
        <w:t>三、投标报价</w:t>
      </w:r>
    </w:p>
    <w:p w14:paraId="551A744F">
      <w:pPr>
        <w:tabs>
          <w:tab w:val="left" w:pos="0"/>
          <w:tab w:val="left" w:pos="993"/>
          <w:tab w:val="left" w:pos="1134"/>
        </w:tabs>
        <w:adjustRightInd w:val="0"/>
        <w:snapToGrid w:val="0"/>
        <w:spacing w:line="400" w:lineRule="exact"/>
        <w:ind w:firstLine="210" w:firstLineChars="100"/>
        <w:rPr>
          <w:rFonts w:ascii="宋体" w:hAnsi="宋体" w:eastAsia="宋体" w:cs="宋体"/>
          <w:snapToGrid w:val="0"/>
          <w:color w:val="auto"/>
          <w:szCs w:val="21"/>
        </w:rPr>
      </w:pPr>
      <w:r>
        <w:rPr>
          <w:rFonts w:hint="eastAsia" w:ascii="宋体" w:hAnsi="宋体" w:eastAsia="宋体" w:cs="宋体"/>
          <w:snapToGrid w:val="0"/>
          <w:color w:val="auto"/>
          <w:szCs w:val="21"/>
        </w:rPr>
        <w:t>（七）投标报价</w:t>
      </w:r>
    </w:p>
    <w:p w14:paraId="42374020">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 xml:space="preserve">1、本工程采用工程量清单综合单价计价。 </w:t>
      </w:r>
    </w:p>
    <w:p w14:paraId="1676A8EC">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2、本工程工程量清单综合单价的编制应按《建设工程工程量清单计价规范》           (GB50500-2013)要求执行。</w:t>
      </w:r>
    </w:p>
    <w:p w14:paraId="01C8D948">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3、投标报价的编制要求：</w:t>
      </w:r>
    </w:p>
    <w:p w14:paraId="554BE48C">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①投标人应按照招标文件规定的招标范围内工程量清单所列项目的全部费用总和，包括分部分项工程费、项目措施费、其他项目费和规费、税金。</w:t>
      </w:r>
    </w:p>
    <w:p w14:paraId="5B8E8F95">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14:paraId="2BE5E378">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③工程量清单中的工程数量是按《建设工程工程量清单计价规范》(GB50500-2013)的工程量规则进行计算的，施工中所用的材料、成品、半成品在制作、运输、安装中等发生的一切损耗应包括在报价内。</w:t>
      </w:r>
    </w:p>
    <w:p w14:paraId="5EA9F974">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14:paraId="061EA3A6">
      <w:pPr>
        <w:tabs>
          <w:tab w:val="left" w:pos="0"/>
          <w:tab w:val="left" w:pos="851"/>
        </w:tabs>
        <w:adjustRightInd w:val="0"/>
        <w:snapToGrid w:val="0"/>
        <w:spacing w:line="400" w:lineRule="exact"/>
        <w:ind w:left="132" w:leftChars="63" w:firstLine="315" w:firstLineChars="150"/>
        <w:rPr>
          <w:rFonts w:hint="eastAsia" w:ascii="宋体" w:hAnsi="宋体" w:eastAsia="宋体" w:cs="宋体"/>
          <w:snapToGrid w:val="0"/>
          <w:color w:val="auto"/>
          <w:szCs w:val="21"/>
          <w:lang w:eastAsia="zh-CN"/>
        </w:rPr>
      </w:pPr>
      <w:r>
        <w:rPr>
          <w:rFonts w:hint="eastAsia" w:ascii="宋体" w:hAnsi="宋体" w:eastAsia="宋体" w:cs="宋体"/>
          <w:snapToGrid w:val="0"/>
          <w:color w:val="auto"/>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eastAsia="宋体" w:cs="宋体"/>
          <w:snapToGrid w:val="0"/>
          <w:color w:val="auto"/>
          <w:szCs w:val="21"/>
          <w:lang w:eastAsia="zh-CN"/>
        </w:rPr>
        <w:t>。</w:t>
      </w:r>
    </w:p>
    <w:p w14:paraId="60E5564D">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⑥投标人的综合单价中应考虑招标文件中要求投标人承担的风险内容及其范围（幅度）产生的风险费用。在施工过程中，当出现的风险内容及其范围（幅度）在合同约定的范围时，工程价款不做调整。</w:t>
      </w:r>
    </w:p>
    <w:p w14:paraId="49970954">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⑦其他项目清单中的暂列金额等项目费均为估算、预测算，虽在投标时计入投标人的报价中，但不应视为投标人所有。</w:t>
      </w:r>
    </w:p>
    <w:p w14:paraId="25494464">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14:paraId="6708624E">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4、工程中的材料：</w:t>
      </w:r>
    </w:p>
    <w:p w14:paraId="09A9B7DA">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①甲供材、暂定价的材料按（如有）给定的价格进行报价；</w:t>
      </w:r>
    </w:p>
    <w:p w14:paraId="489ABD5B">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②有指定品牌的，按其品牌进行报价。</w:t>
      </w:r>
    </w:p>
    <w:p w14:paraId="6E16E8B2">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③其它材料由投标人自行报价。</w:t>
      </w:r>
    </w:p>
    <w:p w14:paraId="7FDE911A">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ascii="宋体" w:hAnsi="宋体" w:eastAsia="宋体" w:cs="宋体"/>
          <w:snapToGrid w:val="0"/>
          <w:color w:val="auto"/>
          <w:szCs w:val="21"/>
        </w:rPr>
        <w:t>5</w:t>
      </w:r>
      <w:r>
        <w:rPr>
          <w:rFonts w:hint="eastAsia" w:ascii="宋体" w:hAnsi="宋体" w:eastAsia="宋体" w:cs="宋体"/>
          <w:snapToGrid w:val="0"/>
          <w:color w:val="auto"/>
          <w:szCs w:val="21"/>
        </w:rPr>
        <w:t>、招标控制价的说明：</w:t>
      </w:r>
    </w:p>
    <w:p w14:paraId="59A81BBD">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1）招标控制价是指招标人根据建设行政主管部门颁发的有关计价依据和办法，按照施工设计图纸计算的，对建设工程招标项目限定的最高工程造价。</w:t>
      </w:r>
    </w:p>
    <w:p w14:paraId="6D2E2F01">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2）高于招标控制价的投标报价应当予以拒绝。</w:t>
      </w:r>
    </w:p>
    <w:p w14:paraId="1051699B">
      <w:pPr>
        <w:tabs>
          <w:tab w:val="left" w:pos="0"/>
          <w:tab w:val="left" w:pos="1134"/>
        </w:tabs>
        <w:adjustRightInd w:val="0"/>
        <w:snapToGrid w:val="0"/>
        <w:spacing w:line="400" w:lineRule="exact"/>
        <w:jc w:val="center"/>
        <w:rPr>
          <w:rFonts w:ascii="宋体" w:hAnsi="宋体" w:eastAsia="宋体" w:cs="宋体"/>
          <w:b/>
          <w:snapToGrid w:val="0"/>
          <w:color w:val="auto"/>
          <w:sz w:val="28"/>
          <w:szCs w:val="28"/>
        </w:rPr>
      </w:pPr>
      <w:r>
        <w:rPr>
          <w:rFonts w:hint="eastAsia" w:ascii="宋体" w:hAnsi="宋体" w:eastAsia="宋体" w:cs="宋体"/>
          <w:b/>
          <w:snapToGrid w:val="0"/>
          <w:color w:val="auto"/>
          <w:sz w:val="28"/>
          <w:szCs w:val="28"/>
        </w:rPr>
        <w:t>四</w:t>
      </w:r>
      <w:r>
        <w:rPr>
          <w:rFonts w:hint="eastAsia" w:ascii="宋体" w:hAnsi="宋体" w:eastAsia="宋体" w:cs="宋体"/>
          <w:b/>
          <w:snapToGrid w:val="0"/>
          <w:color w:val="auto"/>
          <w:sz w:val="28"/>
          <w:szCs w:val="28"/>
          <w:lang w:eastAsia="zh-CN"/>
        </w:rPr>
        <w:t>、</w:t>
      </w:r>
      <w:r>
        <w:rPr>
          <w:rFonts w:hint="eastAsia" w:ascii="宋体" w:hAnsi="宋体" w:eastAsia="宋体" w:cs="宋体"/>
          <w:b/>
          <w:snapToGrid w:val="0"/>
          <w:color w:val="auto"/>
          <w:sz w:val="28"/>
          <w:szCs w:val="28"/>
        </w:rPr>
        <w:t>投标文件的编制</w:t>
      </w:r>
    </w:p>
    <w:p w14:paraId="0DDD44CA">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（八）投标文件的组成</w:t>
      </w:r>
    </w:p>
    <w:p w14:paraId="50290227">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1、承包人应当按照招标文件、工程量清单、招标答疑纪要(标前会议纪要)及招标文件修改通知的要求编制投标文件，投标文件应对招标文件提出的实质性要求和条件做出响应。</w:t>
      </w:r>
    </w:p>
    <w:p w14:paraId="6E5246A2">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2、承包人的投标文件应包括下列内容：</w:t>
      </w:r>
    </w:p>
    <w:p w14:paraId="2C372EED">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1）投标函</w:t>
      </w:r>
    </w:p>
    <w:p w14:paraId="5D5043FC">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2）法定代表人资格证明书</w:t>
      </w:r>
    </w:p>
    <w:p w14:paraId="49362B1F">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3）法定代表人委托代理人的委托书</w:t>
      </w:r>
    </w:p>
    <w:p w14:paraId="5A1712D7">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4）投标报价汇总表及其它报价表</w:t>
      </w:r>
    </w:p>
    <w:p w14:paraId="2A8D1088">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（九）投标保证金：详见投标须知前附表</w:t>
      </w:r>
    </w:p>
    <w:p w14:paraId="04233A09">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 xml:space="preserve"> (十) 勘察现场</w:t>
      </w:r>
    </w:p>
    <w:p w14:paraId="69D4418B">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1、承包人可以对工程施工现场和周围环境进行勘察，以获取编制投标文件和签署合同所需的所有资料。勘察现场所发生的费用由承包人承担。</w:t>
      </w:r>
    </w:p>
    <w:p w14:paraId="6E35291C">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2、招标人向承包人提供的有关施工现场的资料和数据是招标人现有的能使承包人利用的资料。招标人对承包人由此而做出的推论、理解和结论概不负责。</w:t>
      </w:r>
    </w:p>
    <w:p w14:paraId="700DA5E5">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（十一）投标文件的份数和签署</w:t>
      </w:r>
    </w:p>
    <w:p w14:paraId="1CDD134A">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1、承包人必须分标段各编制一份投标文件。投标文件应使用不能擦去的墨水书写或打印，由承包人加盖公章和法定代表人或法定代表人委托的代理人印鉴或签字。</w:t>
      </w:r>
    </w:p>
    <w:p w14:paraId="0BC4E4B6">
      <w:pPr>
        <w:tabs>
          <w:tab w:val="left" w:pos="0"/>
          <w:tab w:val="left" w:pos="851"/>
        </w:tabs>
        <w:adjustRightInd w:val="0"/>
        <w:snapToGrid w:val="0"/>
        <w:spacing w:line="400" w:lineRule="exact"/>
        <w:ind w:left="132" w:leftChars="63" w:firstLine="315" w:firstLineChars="150"/>
        <w:rPr>
          <w:rFonts w:ascii="宋体" w:hAnsi="宋体" w:eastAsia="宋体" w:cs="宋体"/>
          <w:snapToGrid w:val="0"/>
          <w:color w:val="auto"/>
          <w:szCs w:val="21"/>
        </w:rPr>
      </w:pPr>
      <w:r>
        <w:rPr>
          <w:rFonts w:hint="eastAsia" w:ascii="宋体" w:hAnsi="宋体" w:eastAsia="宋体" w:cs="宋体"/>
          <w:snapToGrid w:val="0"/>
          <w:color w:val="auto"/>
          <w:szCs w:val="21"/>
        </w:rPr>
        <w:t>2、全套投标文件应无涂改和行间插字，除非这些删改是根据招标人的指示进行的，或者是承包人造成的必须修改的错误。修改处应由投标文件签署人加盖印鉴。</w:t>
      </w:r>
    </w:p>
    <w:p w14:paraId="0D0DFEBE">
      <w:pPr>
        <w:tabs>
          <w:tab w:val="left" w:pos="0"/>
          <w:tab w:val="left" w:pos="993"/>
          <w:tab w:val="left" w:pos="1134"/>
        </w:tabs>
        <w:adjustRightInd w:val="0"/>
        <w:snapToGrid w:val="0"/>
        <w:spacing w:line="400" w:lineRule="exact"/>
        <w:jc w:val="center"/>
        <w:rPr>
          <w:rFonts w:ascii="宋体" w:hAnsi="宋体" w:eastAsia="宋体" w:cs="宋体"/>
          <w:b/>
          <w:snapToGrid w:val="0"/>
          <w:color w:val="auto"/>
          <w:sz w:val="28"/>
          <w:szCs w:val="28"/>
        </w:rPr>
      </w:pPr>
      <w:r>
        <w:rPr>
          <w:rFonts w:hint="eastAsia" w:ascii="宋体" w:hAnsi="宋体" w:eastAsia="宋体" w:cs="宋体"/>
          <w:b/>
          <w:snapToGrid w:val="0"/>
          <w:color w:val="auto"/>
          <w:sz w:val="28"/>
          <w:szCs w:val="28"/>
        </w:rPr>
        <w:t>五、投标文件的递交</w:t>
      </w:r>
    </w:p>
    <w:p w14:paraId="53A7CF25">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（十二）投标文件的密封与标志</w:t>
      </w:r>
    </w:p>
    <w:p w14:paraId="3BDF7264">
      <w:pPr>
        <w:tabs>
          <w:tab w:val="left" w:pos="0"/>
          <w:tab w:val="left" w:pos="851"/>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1、密封：承包人必须按前附表要求的份数将投标文件密封提交，并在封袋骑缝密封处加盖承包人法人印章和法定代表人或其委托代理人的印章。</w:t>
      </w:r>
    </w:p>
    <w:p w14:paraId="470E4D32">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2、标志：承包人应在投标文件封袋上正确标明“正本”或“副本”字样，所有封袋上都必须写明招标人名称和工程名称以及承包人的名称。</w:t>
      </w:r>
    </w:p>
    <w:p w14:paraId="3D6E3F18">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highlight w:val="none"/>
        </w:rPr>
      </w:pPr>
      <w:r>
        <w:rPr>
          <w:rFonts w:hint="eastAsia" w:ascii="宋体" w:hAnsi="宋体" w:eastAsia="宋体" w:cs="宋体"/>
          <w:bCs/>
          <w:snapToGrid w:val="0"/>
          <w:color w:val="auto"/>
          <w:szCs w:val="21"/>
        </w:rPr>
        <w:t>3、投标单位在提交投标文件时必须同时提交反映“单位工程费汇总表”、“分部分项工程量清单计价定额”、“措施项目清单计价定额”、“其他项目清单计价定</w:t>
      </w:r>
      <w:r>
        <w:rPr>
          <w:rFonts w:hint="eastAsia" w:ascii="宋体" w:hAnsi="宋体" w:eastAsia="宋体" w:cs="宋体"/>
          <w:bCs/>
          <w:snapToGrid w:val="0"/>
          <w:color w:val="auto"/>
          <w:szCs w:val="21"/>
          <w:highlight w:val="none"/>
        </w:rPr>
        <w:t>额”等工程量清单要求的所有表式的投标文件一起装袋、密封并标志后在开标前提交。</w:t>
      </w:r>
    </w:p>
    <w:p w14:paraId="3193AC91">
      <w:pPr>
        <w:tabs>
          <w:tab w:val="left" w:pos="0"/>
          <w:tab w:val="left" w:pos="993"/>
          <w:tab w:val="left" w:pos="1134"/>
        </w:tabs>
        <w:adjustRightInd w:val="0"/>
        <w:snapToGrid w:val="0"/>
        <w:spacing w:line="400" w:lineRule="exact"/>
        <w:ind w:firstLine="420" w:firstLineChars="200"/>
        <w:rPr>
          <w:rFonts w:ascii="宋体" w:hAnsi="宋体" w:eastAsia="宋体" w:cs="宋体"/>
          <w:b/>
          <w:bCs/>
          <w:snapToGrid w:val="0"/>
          <w:color w:val="auto"/>
          <w:szCs w:val="21"/>
        </w:rPr>
      </w:pPr>
      <w:r>
        <w:rPr>
          <w:rFonts w:hint="eastAsia" w:ascii="宋体" w:hAnsi="宋体" w:eastAsia="宋体" w:cs="宋体"/>
          <w:bCs/>
          <w:snapToGrid w:val="0"/>
          <w:color w:val="auto"/>
          <w:szCs w:val="21"/>
        </w:rPr>
        <w:t>未按上述规定编制、密封、标志所递交的投标文件招标人有权拒绝。</w:t>
      </w:r>
    </w:p>
    <w:p w14:paraId="1A47A9D9">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（十三）投标截止期</w:t>
      </w:r>
    </w:p>
    <w:p w14:paraId="11088A0F">
      <w:pPr>
        <w:tabs>
          <w:tab w:val="left" w:pos="0"/>
          <w:tab w:val="left" w:pos="1134"/>
        </w:tabs>
        <w:adjustRightInd w:val="0"/>
        <w:snapToGrid w:val="0"/>
        <w:spacing w:line="400" w:lineRule="exact"/>
        <w:ind w:left="420" w:leftChars="200"/>
        <w:rPr>
          <w:rFonts w:ascii="宋体" w:hAnsi="宋体" w:eastAsia="宋体" w:cs="宋体"/>
          <w:snapToGrid w:val="0"/>
          <w:color w:val="auto"/>
          <w:szCs w:val="21"/>
        </w:rPr>
      </w:pPr>
      <w:r>
        <w:rPr>
          <w:rFonts w:hint="eastAsia" w:ascii="宋体" w:hAnsi="宋体" w:eastAsia="宋体" w:cs="宋体"/>
          <w:snapToGrid w:val="0"/>
          <w:color w:val="auto"/>
          <w:szCs w:val="21"/>
        </w:rPr>
        <w:t>1、承包人应在投标须知中规定的时间之前将投标文件递交到指定地点。招标人在接</w:t>
      </w:r>
    </w:p>
    <w:p w14:paraId="275AA6DC">
      <w:pPr>
        <w:tabs>
          <w:tab w:val="left" w:pos="0"/>
          <w:tab w:val="left" w:pos="1134"/>
        </w:tabs>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到投标文件时将在投标文件上注明收到的日期和时间，并当面开具接受清单。</w:t>
      </w:r>
    </w:p>
    <w:p w14:paraId="445C1D09">
      <w:pPr>
        <w:tabs>
          <w:tab w:val="left" w:pos="0"/>
          <w:tab w:val="left" w:pos="993"/>
          <w:tab w:val="left" w:pos="1134"/>
        </w:tabs>
        <w:adjustRightInd w:val="0"/>
        <w:snapToGrid w:val="0"/>
        <w:spacing w:line="400" w:lineRule="exact"/>
        <w:ind w:left="420" w:leftChars="200"/>
        <w:rPr>
          <w:rFonts w:ascii="宋体" w:hAnsi="宋体" w:eastAsia="宋体" w:cs="宋体"/>
          <w:snapToGrid w:val="0"/>
          <w:color w:val="auto"/>
          <w:szCs w:val="21"/>
        </w:rPr>
      </w:pPr>
      <w:r>
        <w:rPr>
          <w:rFonts w:hint="eastAsia" w:ascii="宋体" w:hAnsi="宋体" w:eastAsia="宋体" w:cs="宋体"/>
          <w:snapToGrid w:val="0"/>
          <w:color w:val="auto"/>
          <w:szCs w:val="21"/>
        </w:rPr>
        <w:t>2、招标人可以按本文件第（六）条规定以修改通知的方式，酌情延长递交投标文件的</w:t>
      </w:r>
    </w:p>
    <w:p w14:paraId="68CECBF8">
      <w:pPr>
        <w:tabs>
          <w:tab w:val="left" w:pos="0"/>
          <w:tab w:val="left" w:pos="1134"/>
        </w:tabs>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截止日期。在上述情况下，招标人与承包人以前的投标截止期方面的全部权力、责任和义务，将适用于延长后新的投标截止期。</w:t>
      </w:r>
    </w:p>
    <w:p w14:paraId="48B854DD">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3、超过投标截止期送达的投标文件将被拒绝并原封退给承包人。</w:t>
      </w:r>
    </w:p>
    <w:p w14:paraId="0E63A7C9">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4、提交投标文件的承包人少于三个的，招标人将依法重新招标。</w:t>
      </w:r>
    </w:p>
    <w:p w14:paraId="29E4E513">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（十四）投标文件的修改与撤回</w:t>
      </w:r>
    </w:p>
    <w:p w14:paraId="19E29E74">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1、承包人可以在递交投标文件以后，在规定的投标截止期之前，以书面形式向招标人递交补充、修改、替代或撤回其投标文件的通知。在投标截止期以后，不得更改投标文件。</w:t>
      </w:r>
    </w:p>
    <w:p w14:paraId="2F97176A">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2、承包人的补充、修改、替代或撤回通知，应按按本文件第（十二）条规定的要求编　　</w:t>
      </w:r>
    </w:p>
    <w:p w14:paraId="39CE6C29">
      <w:pPr>
        <w:tabs>
          <w:tab w:val="left" w:pos="0"/>
          <w:tab w:val="left" w:pos="1134"/>
        </w:tabs>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制、密封、标志和递交，密封袋上应标明“补充”、“修改”、“替代”或“撤回”字样。</w:t>
      </w:r>
    </w:p>
    <w:p w14:paraId="53D6C952">
      <w:pPr>
        <w:tabs>
          <w:tab w:val="left" w:pos="0"/>
          <w:tab w:val="left" w:pos="709"/>
          <w:tab w:val="left" w:pos="993"/>
        </w:tabs>
        <w:adjustRightInd w:val="0"/>
        <w:snapToGrid w:val="0"/>
        <w:spacing w:line="400" w:lineRule="exact"/>
        <w:ind w:left="420" w:leftChars="200"/>
        <w:rPr>
          <w:rFonts w:ascii="宋体" w:hAnsi="宋体" w:eastAsia="宋体" w:cs="宋体"/>
          <w:snapToGrid w:val="0"/>
          <w:color w:val="auto"/>
          <w:szCs w:val="21"/>
        </w:rPr>
      </w:pPr>
      <w:r>
        <w:rPr>
          <w:rFonts w:hint="eastAsia" w:ascii="宋体" w:hAnsi="宋体" w:eastAsia="宋体" w:cs="宋体"/>
          <w:snapToGrid w:val="0"/>
          <w:color w:val="auto"/>
          <w:szCs w:val="21"/>
        </w:rPr>
        <w:t>3、投标截止以后,在投标有效期内，承包人不得撤回投标文件，否则其投标保证金将</w:t>
      </w:r>
    </w:p>
    <w:p w14:paraId="5907AE56">
      <w:pPr>
        <w:tabs>
          <w:tab w:val="left" w:pos="0"/>
          <w:tab w:val="left" w:pos="709"/>
        </w:tabs>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被没收。</w:t>
      </w:r>
    </w:p>
    <w:p w14:paraId="2F3059EF">
      <w:pPr>
        <w:tabs>
          <w:tab w:val="left" w:pos="0"/>
          <w:tab w:val="left" w:pos="993"/>
          <w:tab w:val="left" w:pos="1134"/>
        </w:tabs>
        <w:adjustRightInd w:val="0"/>
        <w:snapToGrid w:val="0"/>
        <w:spacing w:line="400" w:lineRule="exact"/>
        <w:jc w:val="center"/>
        <w:rPr>
          <w:rFonts w:ascii="宋体" w:hAnsi="宋体" w:eastAsia="宋体" w:cs="宋体"/>
          <w:b/>
          <w:snapToGrid w:val="0"/>
          <w:color w:val="auto"/>
          <w:szCs w:val="21"/>
        </w:rPr>
      </w:pPr>
      <w:r>
        <w:rPr>
          <w:rFonts w:hint="eastAsia" w:ascii="宋体" w:hAnsi="宋体" w:eastAsia="宋体" w:cs="宋体"/>
          <w:b/>
          <w:snapToGrid w:val="0"/>
          <w:color w:val="auto"/>
          <w:sz w:val="28"/>
          <w:szCs w:val="28"/>
        </w:rPr>
        <w:t>六、开    标</w:t>
      </w:r>
    </w:p>
    <w:p w14:paraId="7096A648">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（十五）开标</w:t>
      </w:r>
    </w:p>
    <w:p w14:paraId="1A700E85">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1、开标由招标人或其委托的招标代理机构人员主持，邀请所有承包人参加。</w:t>
      </w:r>
    </w:p>
    <w:p w14:paraId="43E354D1">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14:paraId="436DFDE7">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3、招标人在招标文件要求提交投标文件的截止时间前收到的所有投标文件，开标时都将当众予以拆封、宣读、记录。</w:t>
      </w:r>
    </w:p>
    <w:p w14:paraId="25D9931E">
      <w:pPr>
        <w:tabs>
          <w:tab w:val="left" w:pos="0"/>
          <w:tab w:val="left" w:pos="1134"/>
        </w:tabs>
        <w:adjustRightInd w:val="0"/>
        <w:snapToGrid w:val="0"/>
        <w:spacing w:line="400" w:lineRule="exact"/>
        <w:ind w:left="420" w:leftChars="200"/>
        <w:rPr>
          <w:rFonts w:ascii="宋体" w:hAnsi="宋体" w:eastAsia="宋体" w:cs="宋体"/>
          <w:snapToGrid w:val="0"/>
          <w:color w:val="auto"/>
          <w:szCs w:val="21"/>
        </w:rPr>
      </w:pPr>
      <w:r>
        <w:rPr>
          <w:rFonts w:hint="eastAsia" w:ascii="宋体" w:hAnsi="宋体" w:eastAsia="宋体" w:cs="宋体"/>
          <w:snapToGrid w:val="0"/>
          <w:color w:val="auto"/>
          <w:szCs w:val="21"/>
        </w:rPr>
        <w:t>4、唱标顺序按各承包人送达投标文件时间先后的逆顺序进行。</w:t>
      </w:r>
    </w:p>
    <w:p w14:paraId="4D78893A">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5、在开标时，投标文件出现下列情况之一的，招标人不予受理：</w:t>
      </w:r>
    </w:p>
    <w:p w14:paraId="1F556751">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(1)逾期送达的或未送达指定地点的；</w:t>
      </w:r>
    </w:p>
    <w:p w14:paraId="74601F52">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(2)未按照招标文件的要求予以密封、标志的；</w:t>
      </w:r>
    </w:p>
    <w:p w14:paraId="605E98CB">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(3)未提供法定代表人证明和有效身份证明的；</w:t>
      </w:r>
    </w:p>
    <w:p w14:paraId="3E2B3BE0">
      <w:pPr>
        <w:tabs>
          <w:tab w:val="left" w:pos="993"/>
          <w:tab w:val="left" w:pos="1134"/>
        </w:tabs>
        <w:adjustRightInd w:val="0"/>
        <w:snapToGrid w:val="0"/>
        <w:spacing w:line="400" w:lineRule="exact"/>
        <w:ind w:firstLine="420" w:firstLineChars="200"/>
        <w:rPr>
          <w:rFonts w:ascii="宋体" w:hAnsi="宋体" w:eastAsia="宋体" w:cs="宋体"/>
          <w:b/>
          <w:snapToGrid w:val="0"/>
          <w:color w:val="auto"/>
          <w:szCs w:val="21"/>
        </w:rPr>
      </w:pPr>
      <w:r>
        <w:rPr>
          <w:rFonts w:hint="eastAsia" w:ascii="宋体" w:hAnsi="宋体" w:eastAsia="宋体" w:cs="宋体"/>
          <w:color w:val="auto"/>
          <w:szCs w:val="21"/>
        </w:rPr>
        <w:t>(4)未提供授权委托书和所委托人身份证明的；</w:t>
      </w:r>
    </w:p>
    <w:p w14:paraId="4E07ED7F">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(5)未参加开标会议的</w:t>
      </w:r>
      <w:r>
        <w:rPr>
          <w:rFonts w:hint="eastAsia" w:ascii="宋体" w:hAnsi="宋体" w:eastAsia="宋体" w:cs="宋体"/>
          <w:b/>
          <w:bCs/>
          <w:color w:val="auto"/>
          <w:szCs w:val="21"/>
        </w:rPr>
        <w:t>;</w:t>
      </w:r>
    </w:p>
    <w:p w14:paraId="74466EF5">
      <w:pPr>
        <w:tabs>
          <w:tab w:val="left" w:pos="340"/>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(6)提供材料有瑕疵的；</w:t>
      </w:r>
    </w:p>
    <w:p w14:paraId="70DA0467">
      <w:pPr>
        <w:tabs>
          <w:tab w:val="left" w:pos="0"/>
          <w:tab w:val="left" w:pos="993"/>
          <w:tab w:val="left" w:pos="1134"/>
        </w:tabs>
        <w:adjustRightInd w:val="0"/>
        <w:snapToGrid w:val="0"/>
        <w:spacing w:line="400" w:lineRule="exact"/>
        <w:ind w:firstLine="562" w:firstLineChars="200"/>
        <w:jc w:val="center"/>
        <w:rPr>
          <w:rFonts w:ascii="宋体" w:hAnsi="宋体" w:eastAsia="宋体" w:cs="宋体"/>
          <w:b/>
          <w:snapToGrid w:val="0"/>
          <w:color w:val="auto"/>
          <w:sz w:val="28"/>
          <w:szCs w:val="28"/>
        </w:rPr>
      </w:pPr>
      <w:r>
        <w:rPr>
          <w:rFonts w:hint="eastAsia" w:ascii="宋体" w:hAnsi="宋体" w:eastAsia="宋体" w:cs="宋体"/>
          <w:b/>
          <w:snapToGrid w:val="0"/>
          <w:color w:val="auto"/>
          <w:sz w:val="28"/>
          <w:szCs w:val="28"/>
        </w:rPr>
        <w:t>七、评   标</w:t>
      </w:r>
    </w:p>
    <w:p w14:paraId="6E852AC0">
      <w:pPr>
        <w:widowControl/>
        <w:tabs>
          <w:tab w:val="left" w:pos="0"/>
          <w:tab w:val="left" w:pos="993"/>
          <w:tab w:val="left" w:pos="1134"/>
        </w:tabs>
        <w:adjustRightInd w:val="0"/>
        <w:snapToGrid w:val="0"/>
        <w:spacing w:line="400" w:lineRule="exact"/>
        <w:ind w:firstLine="420" w:firstLineChars="200"/>
        <w:jc w:val="both"/>
        <w:rPr>
          <w:rFonts w:ascii="宋体" w:hAnsi="宋体" w:eastAsia="宋体" w:cs="宋体"/>
          <w:b/>
          <w:snapToGrid w:val="0"/>
          <w:color w:val="auto"/>
          <w:kern w:val="0"/>
          <w:sz w:val="21"/>
          <w:szCs w:val="21"/>
          <w:lang w:val="en-US" w:eastAsia="zh-CN" w:bidi="ar-SA"/>
        </w:rPr>
      </w:pPr>
      <w:r>
        <w:rPr>
          <w:rFonts w:hint="eastAsia" w:ascii="宋体" w:hAnsi="宋体" w:eastAsia="宋体" w:cs="宋体"/>
          <w:snapToGrid w:val="0"/>
          <w:color w:val="auto"/>
          <w:kern w:val="0"/>
          <w:sz w:val="21"/>
          <w:szCs w:val="21"/>
          <w:lang w:val="en-US" w:eastAsia="zh-CN" w:bidi="ar-SA"/>
        </w:rPr>
        <w:t>（十六）评标</w:t>
      </w:r>
    </w:p>
    <w:p w14:paraId="62BC3B4E">
      <w:pPr>
        <w:spacing w:line="400" w:lineRule="exact"/>
        <w:ind w:firstLine="422" w:firstLineChars="200"/>
        <w:rPr>
          <w:rFonts w:ascii="宋体" w:hAnsi="宋体" w:eastAsia="宋体" w:cs="宋体"/>
          <w:b/>
          <w:color w:val="auto"/>
          <w:szCs w:val="21"/>
        </w:rPr>
      </w:pPr>
      <w:r>
        <w:rPr>
          <w:rFonts w:hint="eastAsia" w:ascii="宋体" w:hAnsi="宋体" w:eastAsia="宋体" w:cs="宋体"/>
          <w:b/>
          <w:color w:val="auto"/>
          <w:szCs w:val="21"/>
        </w:rPr>
        <w:t>1、评标</w:t>
      </w:r>
    </w:p>
    <w:p w14:paraId="13E9FE26">
      <w:pPr>
        <w:tabs>
          <w:tab w:val="left" w:pos="0"/>
          <w:tab w:val="left" w:pos="993"/>
          <w:tab w:val="left" w:pos="1134"/>
        </w:tabs>
        <w:adjustRightInd w:val="0"/>
        <w:snapToGrid w:val="0"/>
        <w:spacing w:line="400" w:lineRule="exact"/>
        <w:ind w:firstLine="422" w:firstLineChars="200"/>
        <w:rPr>
          <w:rFonts w:ascii="宋体" w:hAnsi="宋体" w:eastAsia="宋体" w:cs="宋体"/>
          <w:b/>
          <w:color w:val="auto"/>
          <w:szCs w:val="21"/>
        </w:rPr>
      </w:pPr>
      <w:r>
        <w:rPr>
          <w:rFonts w:hint="eastAsia" w:ascii="宋体" w:hAnsi="宋体" w:eastAsia="宋体" w:cs="宋体"/>
          <w:b/>
          <w:color w:val="auto"/>
          <w:szCs w:val="21"/>
        </w:rPr>
        <w:t>2、清标</w:t>
      </w:r>
    </w:p>
    <w:p w14:paraId="40500673">
      <w:pPr>
        <w:tabs>
          <w:tab w:val="left" w:pos="0"/>
          <w:tab w:val="left" w:pos="993"/>
          <w:tab w:val="left" w:pos="1134"/>
        </w:tabs>
        <w:adjustRightInd w:val="0"/>
        <w:snapToGrid w:val="0"/>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2.1组建清标工作组</w:t>
      </w:r>
    </w:p>
    <w:p w14:paraId="62CD42DA">
      <w:pPr>
        <w:tabs>
          <w:tab w:val="left" w:pos="0"/>
          <w:tab w:val="left" w:pos="993"/>
          <w:tab w:val="left" w:pos="1134"/>
        </w:tabs>
        <w:adjustRightInd w:val="0"/>
        <w:snapToGrid w:val="0"/>
        <w:spacing w:line="400" w:lineRule="exact"/>
        <w:ind w:firstLine="420" w:firstLineChars="200"/>
        <w:rPr>
          <w:rFonts w:ascii="宋体" w:hAnsi="宋体" w:eastAsia="宋体" w:cs="宋体"/>
          <w:color w:val="auto"/>
          <w:szCs w:val="21"/>
        </w:rPr>
      </w:pPr>
      <w:r>
        <w:rPr>
          <w:rFonts w:hint="eastAsia" w:ascii="宋体" w:hAnsi="宋体" w:eastAsia="宋体" w:cs="宋体"/>
          <w:snapToGrid w:val="0"/>
          <w:color w:val="auto"/>
          <w:szCs w:val="21"/>
        </w:rPr>
        <w:t>2.2</w:t>
      </w:r>
      <w:r>
        <w:rPr>
          <w:rFonts w:hint="eastAsia" w:ascii="宋体" w:hAnsi="宋体" w:eastAsia="宋体" w:cs="宋体"/>
          <w:color w:val="auto"/>
          <w:szCs w:val="21"/>
        </w:rPr>
        <w:t xml:space="preserve">清标工作的主要内容包括：  </w:t>
      </w:r>
    </w:p>
    <w:p w14:paraId="254F369C">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2.2.1按照投标总价的高低，对投标文件进行排序；</w:t>
      </w:r>
    </w:p>
    <w:p w14:paraId="1E57D7CD">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2.2.2根据招标文件的规定，对所有投标文件进行全面的审查，列出投标文件在符合性、响应性和技术方法、技术措施、技术标准等方面存在的所有偏差；</w:t>
      </w:r>
    </w:p>
    <w:p w14:paraId="04A5F642">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 xml:space="preserve">2.2.3按照招标文件的规定的方法和标准，对投标报价进行换算； </w:t>
      </w:r>
    </w:p>
    <w:p w14:paraId="66406522">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2.2.4对投标报价进行校核，列出投标文件存在的算术计算错误；</w:t>
      </w:r>
    </w:p>
    <w:p w14:paraId="05ABD4A3">
      <w:pPr>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2.2.5根据本招标文件规定的标准，审查并列出过高和过低的投标价格；</w:t>
      </w:r>
    </w:p>
    <w:p w14:paraId="27A7BE9E">
      <w:pPr>
        <w:tabs>
          <w:tab w:val="left" w:pos="0"/>
          <w:tab w:val="left" w:pos="993"/>
          <w:tab w:val="left" w:pos="1134"/>
        </w:tabs>
        <w:adjustRightInd w:val="0"/>
        <w:snapToGrid w:val="0"/>
        <w:spacing w:line="400" w:lineRule="exact"/>
        <w:ind w:firstLine="420" w:firstLineChars="200"/>
        <w:rPr>
          <w:rFonts w:ascii="宋体" w:hAnsi="宋体" w:eastAsia="宋体" w:cs="宋体"/>
          <w:color w:val="auto"/>
          <w:szCs w:val="21"/>
        </w:rPr>
      </w:pPr>
      <w:r>
        <w:rPr>
          <w:rFonts w:hint="eastAsia" w:ascii="宋体" w:hAnsi="宋体" w:eastAsia="宋体" w:cs="宋体"/>
          <w:color w:val="auto"/>
          <w:szCs w:val="21"/>
        </w:rPr>
        <w:t>2.2.6形成书面的清标情况报告。</w:t>
      </w:r>
    </w:p>
    <w:p w14:paraId="05FF84B5">
      <w:pPr>
        <w:tabs>
          <w:tab w:val="left" w:pos="0"/>
          <w:tab w:val="left" w:pos="993"/>
          <w:tab w:val="left" w:pos="1134"/>
        </w:tabs>
        <w:adjustRightInd w:val="0"/>
        <w:snapToGrid w:val="0"/>
        <w:spacing w:line="400" w:lineRule="exact"/>
        <w:ind w:firstLine="422" w:firstLineChars="200"/>
        <w:rPr>
          <w:rFonts w:ascii="宋体" w:hAnsi="宋体" w:eastAsia="宋体" w:cs="宋体"/>
          <w:b/>
          <w:snapToGrid w:val="0"/>
          <w:color w:val="auto"/>
          <w:szCs w:val="21"/>
        </w:rPr>
      </w:pPr>
      <w:r>
        <w:rPr>
          <w:rFonts w:hint="eastAsia" w:ascii="宋体" w:hAnsi="宋体" w:eastAsia="宋体" w:cs="宋体"/>
          <w:b/>
          <w:snapToGrid w:val="0"/>
          <w:color w:val="auto"/>
          <w:szCs w:val="21"/>
        </w:rPr>
        <w:t>3、评标活动</w:t>
      </w:r>
    </w:p>
    <w:p w14:paraId="4FE28631">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1）评标活动在有关行政监督管理部门的监督下，由评标委员会组织进行。</w:t>
      </w:r>
    </w:p>
    <w:p w14:paraId="3E2438E2">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2）评标委员会由招标人负责组建。</w:t>
      </w:r>
    </w:p>
    <w:p w14:paraId="65482957">
      <w:pPr>
        <w:tabs>
          <w:tab w:val="left" w:pos="0"/>
          <w:tab w:val="left" w:pos="993"/>
          <w:tab w:val="left" w:pos="1134"/>
        </w:tabs>
        <w:adjustRightInd w:val="0"/>
        <w:snapToGrid w:val="0"/>
        <w:spacing w:line="400" w:lineRule="exact"/>
        <w:ind w:firstLine="422" w:firstLineChars="200"/>
        <w:rPr>
          <w:rFonts w:ascii="宋体" w:hAnsi="宋体" w:eastAsia="宋体" w:cs="宋体"/>
          <w:b/>
          <w:bCs/>
          <w:snapToGrid w:val="0"/>
          <w:color w:val="auto"/>
          <w:szCs w:val="21"/>
        </w:rPr>
      </w:pPr>
      <w:r>
        <w:rPr>
          <w:rFonts w:hint="eastAsia" w:ascii="宋体" w:hAnsi="宋体" w:eastAsia="宋体" w:cs="宋体"/>
          <w:b/>
          <w:bCs/>
          <w:snapToGrid w:val="0"/>
          <w:color w:val="auto"/>
          <w:szCs w:val="21"/>
        </w:rPr>
        <w:t>4、本工程采用下列第</w:t>
      </w:r>
      <w:r>
        <w:rPr>
          <w:rFonts w:hint="eastAsia" w:ascii="宋体" w:hAnsi="宋体" w:eastAsia="宋体" w:cs="宋体"/>
          <w:b/>
          <w:bCs/>
          <w:snapToGrid w:val="0"/>
          <w:color w:val="auto"/>
          <w:szCs w:val="21"/>
          <w:u w:val="single"/>
        </w:rPr>
        <w:t xml:space="preserve"> （3）</w:t>
      </w:r>
      <w:r>
        <w:rPr>
          <w:rFonts w:hint="eastAsia" w:ascii="宋体" w:hAnsi="宋体" w:eastAsia="宋体" w:cs="宋体"/>
          <w:b/>
          <w:bCs/>
          <w:snapToGrid w:val="0"/>
          <w:color w:val="auto"/>
          <w:szCs w:val="21"/>
        </w:rPr>
        <w:t>种方式进行评标。</w:t>
      </w:r>
    </w:p>
    <w:p w14:paraId="2D974DB5">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（1）经评审的最低投标价法：是指在投标文件能够满足招标文件实质性要求的承包人中，评审出投标价格最低的承包人，但投标价格低于其企业成本的除外。</w:t>
      </w:r>
    </w:p>
    <w:p w14:paraId="64C1CD6E">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14:paraId="0AD7593A">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（3）其他评标办法：详见第五章</w:t>
      </w:r>
    </w:p>
    <w:p w14:paraId="06DA6179">
      <w:pPr>
        <w:tabs>
          <w:tab w:val="left" w:pos="0"/>
          <w:tab w:val="left" w:pos="993"/>
          <w:tab w:val="left" w:pos="1134"/>
        </w:tabs>
        <w:adjustRightInd w:val="0"/>
        <w:snapToGrid w:val="0"/>
        <w:spacing w:line="400" w:lineRule="exact"/>
        <w:ind w:firstLine="422" w:firstLineChars="200"/>
        <w:rPr>
          <w:rFonts w:ascii="宋体" w:hAnsi="宋体" w:eastAsia="宋体" w:cs="宋体"/>
          <w:b/>
          <w:bCs/>
          <w:snapToGrid w:val="0"/>
          <w:color w:val="auto"/>
          <w:szCs w:val="21"/>
          <w:u w:val="single"/>
        </w:rPr>
      </w:pPr>
      <w:r>
        <w:rPr>
          <w:rFonts w:hint="eastAsia" w:ascii="宋体" w:hAnsi="宋体" w:eastAsia="宋体" w:cs="宋体"/>
          <w:b/>
          <w:bCs/>
          <w:snapToGrid w:val="0"/>
          <w:color w:val="auto"/>
          <w:szCs w:val="21"/>
        </w:rPr>
        <w:t>5、本工程过高或过低的投标价格的具体标准为下列第</w:t>
      </w:r>
      <w:r>
        <w:rPr>
          <w:rFonts w:hint="eastAsia" w:ascii="宋体" w:hAnsi="宋体" w:eastAsia="宋体" w:cs="宋体"/>
          <w:b/>
          <w:bCs/>
          <w:snapToGrid w:val="0"/>
          <w:color w:val="auto"/>
          <w:szCs w:val="21"/>
          <w:u w:val="single"/>
        </w:rPr>
        <w:t xml:space="preserve"> / </w:t>
      </w:r>
      <w:r>
        <w:rPr>
          <w:rFonts w:hint="eastAsia" w:ascii="宋体" w:hAnsi="宋体" w:eastAsia="宋体" w:cs="宋体"/>
          <w:b/>
          <w:bCs/>
          <w:snapToGrid w:val="0"/>
          <w:color w:val="auto"/>
          <w:szCs w:val="21"/>
        </w:rPr>
        <w:t>种方式：</w:t>
      </w:r>
    </w:p>
    <w:p w14:paraId="7EF271F0">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（1）以招标人设定的标底价格的一定幅度为标准；</w:t>
      </w:r>
    </w:p>
    <w:p w14:paraId="36265B46">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（2）以建设行政主管部门或有关行业协会公布的信息指导价的一定幅度为标准；</w:t>
      </w:r>
    </w:p>
    <w:p w14:paraId="0E67CA20">
      <w:pPr>
        <w:tabs>
          <w:tab w:val="left" w:pos="0"/>
          <w:tab w:val="left" w:pos="993"/>
          <w:tab w:val="left" w:pos="1134"/>
        </w:tabs>
        <w:adjustRightInd w:val="0"/>
        <w:snapToGrid w:val="0"/>
        <w:spacing w:line="400" w:lineRule="exact"/>
        <w:ind w:firstLine="420" w:firstLineChars="200"/>
        <w:rPr>
          <w:rFonts w:ascii="宋体" w:hAnsi="宋体" w:eastAsia="宋体" w:cs="宋体"/>
          <w:bCs/>
          <w:snapToGrid w:val="0"/>
          <w:color w:val="auto"/>
          <w:szCs w:val="21"/>
        </w:rPr>
      </w:pPr>
      <w:r>
        <w:rPr>
          <w:rFonts w:hint="eastAsia" w:ascii="宋体" w:hAnsi="宋体" w:eastAsia="宋体" w:cs="宋体"/>
          <w:bCs/>
          <w:snapToGrid w:val="0"/>
          <w:color w:val="auto"/>
          <w:szCs w:val="21"/>
        </w:rPr>
        <w:t>（3）以承包人投标价格的平均值的一定幅度为标准。</w:t>
      </w:r>
    </w:p>
    <w:p w14:paraId="6A7D1A33">
      <w:pPr>
        <w:tabs>
          <w:tab w:val="left" w:pos="0"/>
          <w:tab w:val="left" w:pos="993"/>
          <w:tab w:val="left" w:pos="1134"/>
        </w:tabs>
        <w:adjustRightInd w:val="0"/>
        <w:snapToGrid w:val="0"/>
        <w:spacing w:line="400" w:lineRule="exact"/>
        <w:ind w:firstLine="422" w:firstLineChars="200"/>
        <w:rPr>
          <w:rFonts w:ascii="宋体" w:hAnsi="宋体" w:eastAsia="宋体" w:cs="宋体"/>
          <w:bCs/>
          <w:snapToGrid w:val="0"/>
          <w:color w:val="auto"/>
          <w:szCs w:val="21"/>
        </w:rPr>
      </w:pPr>
      <w:r>
        <w:rPr>
          <w:rFonts w:hint="eastAsia" w:ascii="宋体" w:hAnsi="宋体" w:eastAsia="宋体" w:cs="宋体"/>
          <w:b/>
          <w:bCs/>
          <w:snapToGrid w:val="0"/>
          <w:color w:val="auto"/>
          <w:szCs w:val="21"/>
        </w:rPr>
        <w:t>6、</w:t>
      </w:r>
      <w:r>
        <w:rPr>
          <w:rFonts w:hint="eastAsia" w:ascii="宋体" w:hAnsi="宋体" w:eastAsia="宋体" w:cs="宋体"/>
          <w:bCs/>
          <w:snapToGrid w:val="0"/>
          <w:color w:val="auto"/>
          <w:szCs w:val="21"/>
        </w:rPr>
        <w:t>过低的投标价格，评标委员会应当对与该价格相关的下列因素进行重点分析：</w:t>
      </w:r>
    </w:p>
    <w:p w14:paraId="4481C213">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（1）工程内容是否完整；</w:t>
      </w:r>
    </w:p>
    <w:p w14:paraId="369FEC58">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（2）施工方法是否正确；</w:t>
      </w:r>
    </w:p>
    <w:p w14:paraId="316D3CB3">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（3）施工组织和技术处理是否合理、可行；</w:t>
      </w:r>
    </w:p>
    <w:p w14:paraId="131F1214">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（4）综合单价和单项费用金额的组成、工料机消耗及确定的费用、利润是否合理；</w:t>
      </w:r>
    </w:p>
    <w:p w14:paraId="5D278751">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（5）是否满足招标文件对主要材料的规格、型号等的特殊要求，确定的价格材料是否合理；</w:t>
      </w:r>
    </w:p>
    <w:p w14:paraId="4C6F6006">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（6）承包人对澄清要求所作的说明是否合理，提供的相关的证明材料是否具有说服力。</w:t>
      </w:r>
    </w:p>
    <w:p w14:paraId="6CE51A5E">
      <w:pPr>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承包人不能合理说明或者不能提供相关证明材料，或者评标委员会有充分的理由认定上述因素不能支持投标价格成立的，应当在评标报告中详细记录认定的理由和依据。</w:t>
      </w:r>
    </w:p>
    <w:p w14:paraId="44C9989E">
      <w:pPr>
        <w:adjustRightInd w:val="0"/>
        <w:snapToGrid w:val="0"/>
        <w:spacing w:line="400" w:lineRule="exact"/>
        <w:ind w:firstLine="422" w:firstLineChars="200"/>
        <w:rPr>
          <w:rFonts w:ascii="宋体" w:hAnsi="宋体" w:eastAsia="宋体" w:cs="宋体"/>
          <w:snapToGrid w:val="0"/>
          <w:color w:val="auto"/>
          <w:szCs w:val="21"/>
        </w:rPr>
      </w:pPr>
      <w:r>
        <w:rPr>
          <w:rFonts w:hint="eastAsia" w:ascii="宋体" w:hAnsi="宋体" w:eastAsia="宋体" w:cs="宋体"/>
          <w:b/>
          <w:snapToGrid w:val="0"/>
          <w:color w:val="auto"/>
          <w:szCs w:val="21"/>
        </w:rPr>
        <w:t>7、</w:t>
      </w:r>
      <w:r>
        <w:rPr>
          <w:rFonts w:hint="eastAsia" w:ascii="宋体" w:hAnsi="宋体" w:eastAsia="宋体" w:cs="宋体"/>
          <w:snapToGrid w:val="0"/>
          <w:color w:val="auto"/>
          <w:szCs w:val="21"/>
        </w:rPr>
        <w:t>评标过程中数据和评分的计算过程和计算结果均保留二位小数，小数点后的第三位四舍五入。</w:t>
      </w:r>
    </w:p>
    <w:p w14:paraId="53BE4486">
      <w:pPr>
        <w:adjustRightInd w:val="0"/>
        <w:snapToGrid w:val="0"/>
        <w:spacing w:line="400" w:lineRule="exact"/>
        <w:ind w:firstLine="422" w:firstLineChars="200"/>
        <w:rPr>
          <w:rFonts w:ascii="宋体" w:hAnsi="宋体" w:eastAsia="宋体" w:cs="宋体"/>
          <w:b/>
          <w:bCs/>
          <w:snapToGrid w:val="0"/>
          <w:color w:val="auto"/>
          <w:szCs w:val="21"/>
        </w:rPr>
      </w:pPr>
      <w:r>
        <w:rPr>
          <w:rFonts w:hint="eastAsia" w:ascii="宋体" w:hAnsi="宋体" w:eastAsia="宋体" w:cs="宋体"/>
          <w:b/>
          <w:snapToGrid w:val="0"/>
          <w:color w:val="auto"/>
          <w:szCs w:val="21"/>
        </w:rPr>
        <w:t>8、</w:t>
      </w:r>
      <w:r>
        <w:rPr>
          <w:rFonts w:hint="eastAsia" w:ascii="宋体" w:hAnsi="宋体" w:eastAsia="宋体" w:cs="宋体"/>
          <w:snapToGrid w:val="0"/>
          <w:color w:val="auto"/>
          <w:szCs w:val="21"/>
        </w:rPr>
        <w:t>在评标过程中，评标委员会成员对同一问题意见不一致的，按照少数服从多数的原则形成评标结论。</w:t>
      </w:r>
    </w:p>
    <w:p w14:paraId="214D615C">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2D77037C">
      <w:pPr>
        <w:tabs>
          <w:tab w:val="left" w:pos="0"/>
          <w:tab w:val="left" w:pos="993"/>
          <w:tab w:val="left" w:pos="1134"/>
        </w:tabs>
        <w:adjustRightInd w:val="0"/>
        <w:snapToGrid w:val="0"/>
        <w:spacing w:line="400" w:lineRule="exact"/>
        <w:ind w:firstLine="422" w:firstLineChars="200"/>
        <w:rPr>
          <w:rFonts w:ascii="宋体" w:hAnsi="宋体" w:eastAsia="宋体" w:cs="宋体"/>
          <w:snapToGrid w:val="0"/>
          <w:color w:val="auto"/>
          <w:szCs w:val="21"/>
        </w:rPr>
      </w:pPr>
      <w:r>
        <w:rPr>
          <w:rFonts w:hint="eastAsia" w:ascii="宋体" w:hAnsi="宋体" w:eastAsia="宋体" w:cs="宋体"/>
          <w:b/>
          <w:snapToGrid w:val="0"/>
          <w:color w:val="auto"/>
          <w:szCs w:val="21"/>
        </w:rPr>
        <w:t>9、</w:t>
      </w:r>
      <w:r>
        <w:rPr>
          <w:rFonts w:hint="eastAsia" w:ascii="宋体" w:hAnsi="宋体" w:eastAsia="宋体" w:cs="宋体"/>
          <w:snapToGrid w:val="0"/>
          <w:color w:val="auto"/>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14:paraId="10E9C339">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（十七）投标文件的澄清</w:t>
      </w:r>
    </w:p>
    <w:p w14:paraId="259DE823">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1、为了有助于投标文件的审查、评价和比较，评标委员会可以书面方式要求承包人对</w:t>
      </w:r>
    </w:p>
    <w:p w14:paraId="0B724CCB">
      <w:pPr>
        <w:widowControl w:val="0"/>
        <w:tabs>
          <w:tab w:val="left" w:pos="0"/>
          <w:tab w:val="left" w:pos="993"/>
          <w:tab w:val="left" w:pos="1134"/>
        </w:tabs>
        <w:adjustRightInd w:val="0"/>
        <w:snapToGrid w:val="0"/>
        <w:spacing w:line="400" w:lineRule="exact"/>
        <w:ind w:firstLine="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14:paraId="65A5F2B6">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2、评标委员会在对实质上响应招标文件要求的投标进行报价时，除招标文件另有约定外，将按下述原则进行修正。</w:t>
      </w:r>
    </w:p>
    <w:p w14:paraId="1F995704">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（1）用数字表示的数额与用文字表示的数额不一致时，以文字数额为准；</w:t>
      </w:r>
    </w:p>
    <w:p w14:paraId="7B8CA670">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（2）单价与工程量的乘积与总价之间不一致时，以单价为准。若单价有明显的小数点错位，应以总价为准，并修改单价。</w:t>
      </w:r>
    </w:p>
    <w:p w14:paraId="04206C3D">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(3)工程量清单计价格式中列明的所有需要填报的单价和合价，承包人均应填报，未填报的单价和合价，视为此项费用已包含在工程量清单的其他单价和合价中。</w:t>
      </w:r>
    </w:p>
    <w:p w14:paraId="65D04849">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（4）按前款规定调整后的报价经承包人</w:t>
      </w:r>
      <w:r>
        <w:rPr>
          <w:rFonts w:hint="eastAsia" w:ascii="宋体" w:hAnsi="宋体" w:eastAsia="宋体" w:cs="宋体"/>
          <w:bCs/>
          <w:snapToGrid w:val="0"/>
          <w:color w:val="auto"/>
          <w:kern w:val="2"/>
          <w:sz w:val="21"/>
          <w:szCs w:val="21"/>
          <w:lang w:val="en-US" w:eastAsia="zh-CN" w:bidi="ar-SA"/>
        </w:rPr>
        <w:t>确认</w:t>
      </w:r>
      <w:r>
        <w:rPr>
          <w:rFonts w:hint="eastAsia" w:ascii="宋体" w:hAnsi="宋体" w:eastAsia="宋体" w:cs="宋体"/>
          <w:snapToGrid w:val="0"/>
          <w:color w:val="auto"/>
          <w:kern w:val="2"/>
          <w:sz w:val="21"/>
          <w:szCs w:val="21"/>
          <w:lang w:val="en-US" w:eastAsia="zh-CN" w:bidi="ar-SA"/>
        </w:rPr>
        <w:t>后产生约束力。</w:t>
      </w:r>
    </w:p>
    <w:p w14:paraId="78B44B4C">
      <w:pPr>
        <w:widowControl w:val="0"/>
        <w:tabs>
          <w:tab w:val="left" w:pos="0"/>
          <w:tab w:val="left" w:pos="993"/>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评标委员会按照上述规定的原则，要求承包人对相关内容进行澄清、说明或补正、</w:t>
      </w:r>
    </w:p>
    <w:p w14:paraId="64A5AACC">
      <w:pPr>
        <w:widowControl w:val="0"/>
        <w:tabs>
          <w:tab w:val="left" w:pos="0"/>
          <w:tab w:val="left" w:pos="993"/>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修正的，承包人应当按照要求进行澄清、说明或补正、修正的；承包人拒绝的，评</w:t>
      </w:r>
    </w:p>
    <w:p w14:paraId="22E478EB">
      <w:pPr>
        <w:widowControl w:val="0"/>
        <w:tabs>
          <w:tab w:val="left" w:pos="0"/>
          <w:tab w:val="left" w:pos="993"/>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标委员会可以否决其投标。</w:t>
      </w:r>
    </w:p>
    <w:p w14:paraId="68A8479C">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（十八）在评标过程中，评标委员会若发现承包人以他人的名义投标、串通投标、以行贿手段谋取中标或者以其他弄虚作假方式投标的，该承包人的投标将作废标处理。</w:t>
      </w:r>
    </w:p>
    <w:p w14:paraId="405BD825">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14:paraId="7E8AD5ED">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（二十）投标文件有下述情形之一的，属于重大偏差，视为未能对招标文件作出实质性响应，作无效标处理：</w:t>
      </w:r>
    </w:p>
    <w:p w14:paraId="53C38407">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1、投标文件中的投标函未加盖承包人的公章及企业法定代表人印章的，或者企业法定代表人委托代理人没有合法、有效的委托书（原件）及委托代理人印章的；</w:t>
      </w:r>
    </w:p>
    <w:p w14:paraId="4C72A923">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2、未按招标文件要求提供投标保证金的；</w:t>
      </w:r>
    </w:p>
    <w:p w14:paraId="60F9EC51">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3、未按招标文件规定的格式填写，内容不全或关键字迹模糊，无法辨认的；</w:t>
      </w:r>
    </w:p>
    <w:p w14:paraId="5BD00CF3">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4、承包人递交两份或多份内容不同的投标文件，或在一份投标文件中对同一招标项目报有两个或多个报价，且未声明哪一个有效，按招标文件规定提交备选投标方案的除外；</w:t>
      </w:r>
    </w:p>
    <w:p w14:paraId="0BE09206">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5、承包人名称或组织结构与资格审查时不一致的；</w:t>
      </w:r>
    </w:p>
    <w:p w14:paraId="31FDBE6B">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6、除在投标文件截止时间前经招标人书面同意外，项目经理与资格审查时不一致的；</w:t>
      </w:r>
    </w:p>
    <w:p w14:paraId="78B8B5D1">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7、承包人资格条件不符合国家有关规定或招标文件要求的；</w:t>
      </w:r>
    </w:p>
    <w:p w14:paraId="4306A660">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8、投标文件载明的招标项目完成期限超过招标文件规定的期限；</w:t>
      </w:r>
    </w:p>
    <w:p w14:paraId="3175FB27">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 xml:space="preserve">9、明显不符合技术规范，技术标准的要求；                                                         </w:t>
      </w:r>
    </w:p>
    <w:p w14:paraId="1611F0CF">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10、投标报价超过招标文件规定的控制总价、控制单价的；</w:t>
      </w:r>
    </w:p>
    <w:p w14:paraId="67A68141">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11、不同承包人的投标文件出现了评标委员会认为不应当雷同的情况；</w:t>
      </w:r>
    </w:p>
    <w:p w14:paraId="72E3151D">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12、投标文件的已标价工程量清单与招标文件提供的工程量清单中的项目编码、项目名称、项目特征、计量单位、工程量不一致的；</w:t>
      </w:r>
    </w:p>
    <w:p w14:paraId="00597A16">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13、投标报价中任一项目综合单价为0、负数、缺项的；</w:t>
      </w:r>
    </w:p>
    <w:p w14:paraId="6E205232">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14、改变招标文件规定的暂定价格或不可竟争费用的；</w:t>
      </w:r>
    </w:p>
    <w:p w14:paraId="4DB942F5">
      <w:pPr>
        <w:widowControl w:val="0"/>
        <w:tabs>
          <w:tab w:val="left" w:pos="0"/>
          <w:tab w:val="left" w:pos="993"/>
          <w:tab w:val="left" w:pos="1134"/>
        </w:tabs>
        <w:adjustRightInd w:val="0"/>
        <w:snapToGrid w:val="0"/>
        <w:spacing w:line="400" w:lineRule="exact"/>
        <w:ind w:firstLine="420" w:firstLineChars="200"/>
        <w:jc w:val="left"/>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15、投标文件提出了不能满足招标文件要求或招标人不能接受的工程验收、计量、价款结算支付办法；</w:t>
      </w:r>
    </w:p>
    <w:p w14:paraId="185C4A86">
      <w:pPr>
        <w:widowControl w:val="0"/>
        <w:tabs>
          <w:tab w:val="left" w:pos="0"/>
          <w:tab w:val="left" w:pos="993"/>
          <w:tab w:val="left" w:pos="1134"/>
        </w:tabs>
        <w:adjustRightInd w:val="0"/>
        <w:snapToGrid w:val="0"/>
        <w:spacing w:line="400" w:lineRule="exact"/>
        <w:ind w:firstLine="420" w:firstLineChars="200"/>
        <w:jc w:val="left"/>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16、以他人的名义投标、串通投标、以行贿手段谋取中标或者以其他弄虚作假方式投标的；</w:t>
      </w:r>
    </w:p>
    <w:p w14:paraId="68D9B0DB">
      <w:pPr>
        <w:widowControl w:val="0"/>
        <w:tabs>
          <w:tab w:val="left" w:pos="0"/>
          <w:tab w:val="left" w:pos="993"/>
          <w:tab w:val="left" w:pos="1134"/>
        </w:tabs>
        <w:adjustRightInd w:val="0"/>
        <w:snapToGrid w:val="0"/>
        <w:spacing w:line="400" w:lineRule="exact"/>
        <w:ind w:firstLine="420" w:firstLineChars="200"/>
        <w:jc w:val="left"/>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17、投标文件未装订成册的（含活页装订的）；</w:t>
      </w:r>
    </w:p>
    <w:p w14:paraId="190CD7E0">
      <w:pPr>
        <w:tabs>
          <w:tab w:val="left" w:pos="709"/>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18、评标委员会根据规定否决不合格投标或者界定为无效投标文件后，因有效投标不足三个使得投标明显缺乏竞争的，评标委员会可以否决全部投标。所有投标被否决的，招标人依法重新招标。</w:t>
      </w:r>
    </w:p>
    <w:p w14:paraId="3401DF80">
      <w:pPr>
        <w:widowControl w:val="0"/>
        <w:tabs>
          <w:tab w:val="left" w:pos="0"/>
          <w:tab w:val="left" w:pos="993"/>
          <w:tab w:val="left" w:pos="1134"/>
        </w:tabs>
        <w:adjustRightInd w:val="0"/>
        <w:snapToGrid w:val="0"/>
        <w:spacing w:line="400" w:lineRule="exact"/>
        <w:ind w:firstLine="420" w:firstLineChars="200"/>
        <w:jc w:val="both"/>
        <w:rPr>
          <w:rFonts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14:paraId="362348C7">
      <w:pPr>
        <w:tabs>
          <w:tab w:val="left" w:pos="0"/>
          <w:tab w:val="left" w:pos="993"/>
          <w:tab w:val="left" w:pos="1134"/>
        </w:tabs>
        <w:adjustRightInd w:val="0"/>
        <w:snapToGrid w:val="0"/>
        <w:spacing w:line="400" w:lineRule="exact"/>
        <w:jc w:val="center"/>
        <w:rPr>
          <w:rFonts w:ascii="宋体" w:hAnsi="宋体" w:eastAsia="宋体" w:cs="宋体"/>
          <w:b/>
          <w:snapToGrid w:val="0"/>
          <w:color w:val="auto"/>
          <w:sz w:val="28"/>
          <w:szCs w:val="28"/>
        </w:rPr>
      </w:pPr>
    </w:p>
    <w:p w14:paraId="2AE714EA">
      <w:pPr>
        <w:tabs>
          <w:tab w:val="left" w:pos="0"/>
          <w:tab w:val="left" w:pos="993"/>
          <w:tab w:val="left" w:pos="1134"/>
        </w:tabs>
        <w:adjustRightInd w:val="0"/>
        <w:snapToGrid w:val="0"/>
        <w:spacing w:line="400" w:lineRule="exact"/>
        <w:jc w:val="center"/>
        <w:rPr>
          <w:rFonts w:ascii="宋体" w:hAnsi="宋体" w:eastAsia="宋体" w:cs="宋体"/>
          <w:snapToGrid w:val="0"/>
          <w:color w:val="auto"/>
          <w:szCs w:val="21"/>
        </w:rPr>
      </w:pPr>
      <w:r>
        <w:rPr>
          <w:rFonts w:hint="eastAsia" w:ascii="宋体" w:hAnsi="宋体" w:eastAsia="宋体" w:cs="宋体"/>
          <w:b/>
          <w:snapToGrid w:val="0"/>
          <w:color w:val="auto"/>
          <w:sz w:val="28"/>
          <w:szCs w:val="28"/>
        </w:rPr>
        <w:t>八、授予合同</w:t>
      </w:r>
    </w:p>
    <w:p w14:paraId="3C559A92">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（二十二）中标</w:t>
      </w:r>
    </w:p>
    <w:p w14:paraId="17C024C5">
      <w:pPr>
        <w:numPr>
          <w:ilvl w:val="0"/>
          <w:numId w:val="2"/>
        </w:num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确定中标单位后，招标人将进行中标公示，公示2个工作日，如无异议，招标人向中标单位发出中标通知书，并同时将中标结果通知所有未中标的承包人。中标通知书将成为合同的组成部分。</w:t>
      </w:r>
    </w:p>
    <w:p w14:paraId="194FA810">
      <w:pPr>
        <w:numPr>
          <w:ilvl w:val="0"/>
          <w:numId w:val="2"/>
        </w:num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 xml:space="preserve">中标单位收到中标通知书后，应在30日内与招标人签订施工合同。中标人不与招 </w:t>
      </w:r>
    </w:p>
    <w:p w14:paraId="1DF8AAE0">
      <w:pPr>
        <w:tabs>
          <w:tab w:val="left" w:pos="0"/>
          <w:tab w:val="left" w:pos="993"/>
        </w:tabs>
        <w:adjustRightInd w:val="0"/>
        <w:snapToGrid w:val="0"/>
        <w:spacing w:line="400" w:lineRule="exact"/>
        <w:rPr>
          <w:rFonts w:ascii="宋体" w:hAnsi="宋体" w:eastAsia="宋体" w:cs="宋体"/>
          <w:snapToGrid w:val="0"/>
          <w:color w:val="auto"/>
          <w:szCs w:val="21"/>
        </w:rPr>
      </w:pPr>
      <w:r>
        <w:rPr>
          <w:rFonts w:hint="eastAsia" w:ascii="宋体" w:hAnsi="宋体" w:eastAsia="宋体" w:cs="宋体"/>
          <w:snapToGrid w:val="0"/>
          <w:color w:val="auto"/>
          <w:szCs w:val="21"/>
        </w:rPr>
        <w:t>标人订立合同的，投标保证金不予退还并取消其中标资格，给招标人造成的损失超过投标保证金数额的，应当对超过部分予以赔偿。</w:t>
      </w:r>
    </w:p>
    <w:p w14:paraId="0619538D">
      <w:pPr>
        <w:tabs>
          <w:tab w:val="left" w:pos="0"/>
          <w:tab w:val="left" w:pos="993"/>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（二十三）合同签订</w:t>
      </w:r>
    </w:p>
    <w:p w14:paraId="514CA7CC">
      <w:pPr>
        <w:tabs>
          <w:tab w:val="left" w:pos="0"/>
          <w:tab w:val="left" w:pos="1002"/>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1、招标人与中标人将根据《中国人民共和国民法典》的规定，依据招标文件和投标文件签订施工合同。</w:t>
      </w:r>
    </w:p>
    <w:p w14:paraId="3C900DD6">
      <w:pPr>
        <w:tabs>
          <w:tab w:val="left" w:pos="0"/>
          <w:tab w:val="left" w:pos="1134"/>
        </w:tabs>
        <w:adjustRightInd w:val="0"/>
        <w:snapToGrid w:val="0"/>
        <w:spacing w:line="400" w:lineRule="exact"/>
        <w:ind w:firstLine="420" w:firstLineChars="200"/>
        <w:rPr>
          <w:rFonts w:ascii="宋体" w:hAnsi="宋体" w:eastAsia="宋体" w:cs="宋体"/>
          <w:snapToGrid w:val="0"/>
          <w:color w:val="auto"/>
          <w:szCs w:val="21"/>
        </w:rPr>
      </w:pPr>
      <w:r>
        <w:rPr>
          <w:rFonts w:hint="eastAsia" w:ascii="宋体" w:hAnsi="宋体" w:eastAsia="宋体" w:cs="宋体"/>
          <w:snapToGrid w:val="0"/>
          <w:color w:val="auto"/>
          <w:szCs w:val="21"/>
        </w:rPr>
        <w:t>2、履约保证金：</w:t>
      </w:r>
      <w:r>
        <w:rPr>
          <w:rFonts w:hint="eastAsia" w:ascii="宋体" w:hAnsi="宋体" w:eastAsia="宋体" w:cs="宋体"/>
          <w:color w:val="auto"/>
          <w:szCs w:val="21"/>
        </w:rPr>
        <w:t>合同价款的</w:t>
      </w:r>
      <w:r>
        <w:rPr>
          <w:rFonts w:ascii="宋体" w:hAnsi="宋体" w:eastAsia="宋体" w:cs="宋体"/>
          <w:color w:val="auto"/>
          <w:szCs w:val="21"/>
        </w:rPr>
        <w:t>10</w:t>
      </w:r>
      <w:r>
        <w:rPr>
          <w:rFonts w:hint="eastAsia" w:ascii="宋体" w:hAnsi="宋体" w:eastAsia="宋体" w:cs="宋体"/>
          <w:color w:val="auto"/>
          <w:szCs w:val="21"/>
        </w:rPr>
        <w:t>%，合同签订前交至甲方指定账户，工程竣工验收合格后一次性退还（不计息）</w:t>
      </w:r>
      <w:r>
        <w:rPr>
          <w:rFonts w:hint="eastAsia" w:ascii="宋体" w:hAnsi="宋体" w:eastAsia="宋体" w:cs="宋体"/>
          <w:snapToGrid w:val="0"/>
          <w:color w:val="auto"/>
          <w:szCs w:val="21"/>
        </w:rPr>
        <w:t>。</w:t>
      </w:r>
    </w:p>
    <w:p w14:paraId="459E2DC0">
      <w:pPr>
        <w:tabs>
          <w:tab w:val="left" w:pos="0"/>
          <w:tab w:val="left" w:pos="993"/>
          <w:tab w:val="left" w:pos="1134"/>
        </w:tabs>
        <w:adjustRightInd w:val="0"/>
        <w:snapToGrid w:val="0"/>
        <w:spacing w:line="300" w:lineRule="auto"/>
        <w:ind w:right="-258" w:rightChars="-123"/>
        <w:jc w:val="center"/>
        <w:outlineLvl w:val="0"/>
        <w:rPr>
          <w:rFonts w:ascii="宋体" w:hAnsi="宋体" w:eastAsia="宋体" w:cs="Times New Roman"/>
          <w:b/>
          <w:color w:val="auto"/>
          <w:sz w:val="28"/>
          <w:szCs w:val="28"/>
        </w:rPr>
      </w:pPr>
      <w:r>
        <w:rPr>
          <w:rFonts w:ascii="宋体" w:hAnsi="宋体" w:eastAsia="宋体" w:cs="Times New Roman"/>
          <w:snapToGrid w:val="0"/>
          <w:color w:val="auto"/>
          <w:sz w:val="24"/>
        </w:rPr>
        <w:br w:type="page"/>
      </w:r>
      <w:bookmarkStart w:id="6" w:name="_Toc28113"/>
      <w:bookmarkStart w:id="7" w:name="_Toc21071"/>
      <w:bookmarkStart w:id="8" w:name="_Toc28140"/>
      <w:bookmarkStart w:id="9" w:name="_Toc2005"/>
      <w:bookmarkStart w:id="10" w:name="_Toc31178"/>
      <w:bookmarkStart w:id="11" w:name="_Toc30383"/>
      <w:r>
        <w:rPr>
          <w:rFonts w:hint="eastAsia" w:ascii="宋体" w:hAnsi="宋体" w:eastAsia="宋体" w:cs="Times New Roman"/>
          <w:b/>
          <w:color w:val="auto"/>
          <w:sz w:val="28"/>
          <w:szCs w:val="28"/>
        </w:rPr>
        <w:t>第二章 合同协议</w:t>
      </w:r>
      <w:bookmarkEnd w:id="6"/>
      <w:bookmarkEnd w:id="7"/>
      <w:bookmarkEnd w:id="8"/>
      <w:bookmarkEnd w:id="9"/>
      <w:bookmarkEnd w:id="10"/>
      <w:bookmarkEnd w:id="11"/>
    </w:p>
    <w:p w14:paraId="786B29A1">
      <w:pPr>
        <w:widowControl w:val="0"/>
        <w:ind w:left="420" w:leftChars="200"/>
        <w:jc w:val="both"/>
        <w:rPr>
          <w:rFonts w:ascii="宋体" w:hAnsi="宋体" w:eastAsia="宋体" w:cs="Times New Roman"/>
          <w:color w:val="auto"/>
          <w:kern w:val="2"/>
          <w:sz w:val="21"/>
          <w:szCs w:val="24"/>
          <w:lang w:val="en-US" w:eastAsia="zh-CN" w:bidi="ar-SA"/>
        </w:rPr>
      </w:pPr>
    </w:p>
    <w:p w14:paraId="6F63CA64">
      <w:pPr>
        <w:tabs>
          <w:tab w:val="left" w:pos="0"/>
          <w:tab w:val="left" w:pos="993"/>
          <w:tab w:val="left" w:pos="1134"/>
        </w:tabs>
        <w:adjustRightInd w:val="0"/>
        <w:snapToGrid w:val="0"/>
        <w:spacing w:line="360" w:lineRule="auto"/>
        <w:jc w:val="center"/>
        <w:outlineLvl w:val="9"/>
        <w:rPr>
          <w:rFonts w:ascii="宋体" w:hAnsi="宋体" w:eastAsia="宋体" w:cs="Times New Roman"/>
          <w:b/>
          <w:snapToGrid w:val="0"/>
          <w:color w:val="auto"/>
          <w:sz w:val="24"/>
        </w:rPr>
      </w:pPr>
      <w:bookmarkStart w:id="12" w:name="_Toc9323"/>
      <w:bookmarkStart w:id="13" w:name="_Toc13643"/>
      <w:bookmarkStart w:id="14" w:name="_Toc424397471"/>
      <w:bookmarkStart w:id="15" w:name="_Toc31683"/>
      <w:bookmarkStart w:id="16" w:name="_Toc6401"/>
      <w:bookmarkStart w:id="17" w:name="_Toc14619"/>
      <w:bookmarkStart w:id="18" w:name="_Toc31468"/>
    </w:p>
    <w:p w14:paraId="5414672E">
      <w:pPr>
        <w:outlineLvl w:val="9"/>
        <w:rPr>
          <w:rFonts w:ascii="Calibri" w:hAnsi="Calibri" w:eastAsia="宋体" w:cs="Times New Roman"/>
          <w:color w:val="auto"/>
        </w:rPr>
      </w:pPr>
    </w:p>
    <w:p w14:paraId="76432D3E">
      <w:pPr>
        <w:rPr>
          <w:rFonts w:ascii="宋体" w:hAnsi="宋体" w:eastAsia="宋体" w:cs="Times New Roman"/>
          <w:color w:val="auto"/>
        </w:rPr>
      </w:pPr>
    </w:p>
    <w:p w14:paraId="6427B99D">
      <w:pPr>
        <w:tabs>
          <w:tab w:val="left" w:pos="0"/>
          <w:tab w:val="left" w:pos="993"/>
          <w:tab w:val="left" w:pos="1134"/>
        </w:tabs>
        <w:adjustRightInd w:val="0"/>
        <w:snapToGrid w:val="0"/>
        <w:spacing w:line="360" w:lineRule="auto"/>
        <w:outlineLvl w:val="9"/>
        <w:rPr>
          <w:rFonts w:ascii="宋体" w:hAnsi="宋体" w:eastAsia="宋体" w:cs="Times New Roman"/>
          <w:b/>
          <w:snapToGrid w:val="0"/>
          <w:color w:val="auto"/>
          <w:sz w:val="24"/>
        </w:rPr>
      </w:pPr>
    </w:p>
    <w:p w14:paraId="34DD6DD3">
      <w:pPr>
        <w:widowControl w:val="0"/>
        <w:ind w:left="420" w:leftChars="200"/>
        <w:jc w:val="both"/>
        <w:rPr>
          <w:rFonts w:ascii="宋体" w:hAnsi="宋体" w:eastAsia="宋体" w:cs="Times New Roman"/>
          <w:b/>
          <w:snapToGrid w:val="0"/>
          <w:color w:val="auto"/>
          <w:kern w:val="2"/>
          <w:sz w:val="24"/>
          <w:szCs w:val="24"/>
          <w:lang w:val="en-US" w:eastAsia="zh-CN" w:bidi="ar-SA"/>
        </w:rPr>
      </w:pPr>
    </w:p>
    <w:p w14:paraId="58C38E23">
      <w:pPr>
        <w:rPr>
          <w:rFonts w:ascii="Calibri" w:hAnsi="Calibri" w:eastAsia="宋体" w:cs="Times New Roman"/>
          <w:color w:val="auto"/>
        </w:rPr>
      </w:pPr>
    </w:p>
    <w:tbl>
      <w:tblPr>
        <w:tblStyle w:val="2"/>
        <w:tblW w:w="0" w:type="auto"/>
        <w:jc w:val="center"/>
        <w:tblLayout w:type="fixed"/>
        <w:tblCellMar>
          <w:top w:w="0" w:type="dxa"/>
          <w:left w:w="108" w:type="dxa"/>
          <w:bottom w:w="0" w:type="dxa"/>
          <w:right w:w="108" w:type="dxa"/>
        </w:tblCellMar>
      </w:tblPr>
      <w:tblGrid>
        <w:gridCol w:w="1476"/>
        <w:gridCol w:w="6641"/>
      </w:tblGrid>
      <w:tr w14:paraId="4680F349">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600B6C62">
            <w:pPr>
              <w:jc w:val="center"/>
              <w:rPr>
                <w:rFonts w:ascii="宋体" w:hAnsi="宋体" w:eastAsia="宋体" w:cs="Times New Roman"/>
                <w:b/>
                <w:bCs/>
                <w:color w:val="auto"/>
                <w:sz w:val="28"/>
                <w:szCs w:val="28"/>
              </w:rPr>
            </w:pPr>
            <w:r>
              <w:rPr>
                <w:rFonts w:hint="eastAsia" w:ascii="宋体" w:hAnsi="宋体" w:eastAsia="宋体" w:cs="Times New Roman"/>
                <w:b/>
                <w:bCs/>
                <w:color w:val="auto"/>
                <w:sz w:val="28"/>
                <w:szCs w:val="28"/>
              </w:rPr>
              <w:t>工程名称</w:t>
            </w:r>
          </w:p>
        </w:tc>
        <w:tc>
          <w:tcPr>
            <w:tcW w:w="6641" w:type="dxa"/>
            <w:tcBorders>
              <w:top w:val="single" w:color="auto" w:sz="4" w:space="0"/>
              <w:left w:val="nil"/>
              <w:bottom w:val="single" w:color="auto" w:sz="4" w:space="0"/>
              <w:right w:val="single" w:color="auto" w:sz="4" w:space="0"/>
            </w:tcBorders>
            <w:vAlign w:val="center"/>
          </w:tcPr>
          <w:p w14:paraId="12979617">
            <w:pPr>
              <w:jc w:val="center"/>
              <w:rPr>
                <w:rFonts w:hint="eastAsia" w:ascii="宋体" w:hAnsi="宋体" w:eastAsia="宋体" w:cs="Times New Roman"/>
                <w:b/>
                <w:bCs/>
                <w:color w:val="auto"/>
                <w:sz w:val="28"/>
                <w:szCs w:val="28"/>
                <w:lang w:eastAsia="zh-CN"/>
              </w:rPr>
            </w:pPr>
            <w:r>
              <w:rPr>
                <w:rFonts w:hint="eastAsia" w:ascii="宋体" w:hAnsi="宋体" w:eastAsia="宋体" w:cs="Times New Roman"/>
                <w:b/>
                <w:bCs/>
                <w:color w:val="auto"/>
                <w:sz w:val="28"/>
                <w:szCs w:val="28"/>
                <w:lang w:eastAsia="zh-CN"/>
              </w:rPr>
              <w:t>新城实验幼儿园暑期木质防护</w:t>
            </w:r>
          </w:p>
        </w:tc>
      </w:tr>
      <w:tr w14:paraId="384D2BAF">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57CDD483">
            <w:pPr>
              <w:jc w:val="center"/>
              <w:rPr>
                <w:rFonts w:ascii="宋体" w:hAnsi="宋体" w:eastAsia="宋体" w:cs="Times New Roman"/>
                <w:b/>
                <w:bCs/>
                <w:color w:val="auto"/>
                <w:sz w:val="28"/>
                <w:szCs w:val="28"/>
              </w:rPr>
            </w:pPr>
            <w:r>
              <w:rPr>
                <w:rFonts w:hint="eastAsia" w:ascii="宋体" w:hAnsi="宋体" w:eastAsia="宋体" w:cs="Times New Roman"/>
                <w:b/>
                <w:bCs/>
                <w:color w:val="auto"/>
                <w:sz w:val="28"/>
                <w:szCs w:val="28"/>
              </w:rPr>
              <w:t>项目经理</w:t>
            </w:r>
          </w:p>
        </w:tc>
        <w:tc>
          <w:tcPr>
            <w:tcW w:w="6641" w:type="dxa"/>
            <w:tcBorders>
              <w:top w:val="single" w:color="auto" w:sz="4" w:space="0"/>
              <w:left w:val="nil"/>
              <w:bottom w:val="single" w:color="auto" w:sz="4" w:space="0"/>
              <w:right w:val="single" w:color="auto" w:sz="4" w:space="0"/>
            </w:tcBorders>
            <w:vAlign w:val="center"/>
          </w:tcPr>
          <w:p w14:paraId="3EECCA08">
            <w:pPr>
              <w:jc w:val="center"/>
              <w:rPr>
                <w:rFonts w:ascii="宋体" w:hAnsi="宋体" w:eastAsia="宋体" w:cs="Times New Roman"/>
                <w:b/>
                <w:bCs/>
                <w:color w:val="auto"/>
                <w:sz w:val="28"/>
                <w:szCs w:val="28"/>
              </w:rPr>
            </w:pPr>
          </w:p>
        </w:tc>
      </w:tr>
      <w:tr w14:paraId="3A44DB08">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5CD9940">
            <w:pPr>
              <w:jc w:val="center"/>
              <w:rPr>
                <w:rFonts w:ascii="宋体" w:hAnsi="宋体" w:eastAsia="宋体" w:cs="Times New Roman"/>
                <w:b/>
                <w:bCs/>
                <w:color w:val="auto"/>
                <w:sz w:val="28"/>
                <w:szCs w:val="28"/>
              </w:rPr>
            </w:pPr>
            <w:r>
              <w:rPr>
                <w:rFonts w:hint="eastAsia" w:ascii="宋体" w:hAnsi="宋体" w:eastAsia="宋体" w:cs="Times New Roman"/>
                <w:b/>
                <w:bCs/>
                <w:color w:val="auto"/>
                <w:sz w:val="28"/>
                <w:szCs w:val="28"/>
              </w:rPr>
              <w:t>工期</w:t>
            </w:r>
          </w:p>
        </w:tc>
        <w:tc>
          <w:tcPr>
            <w:tcW w:w="6641" w:type="dxa"/>
            <w:tcBorders>
              <w:top w:val="single" w:color="auto" w:sz="4" w:space="0"/>
              <w:left w:val="nil"/>
              <w:bottom w:val="single" w:color="auto" w:sz="4" w:space="0"/>
              <w:right w:val="single" w:color="auto" w:sz="4" w:space="0"/>
            </w:tcBorders>
            <w:vAlign w:val="center"/>
          </w:tcPr>
          <w:p w14:paraId="02FB4AB0">
            <w:pPr>
              <w:jc w:val="center"/>
              <w:rPr>
                <w:rFonts w:ascii="宋体" w:hAnsi="宋体" w:eastAsia="宋体" w:cs="Times New Roman"/>
                <w:b/>
                <w:bCs/>
                <w:color w:val="auto"/>
                <w:sz w:val="28"/>
                <w:szCs w:val="28"/>
              </w:rPr>
            </w:pPr>
          </w:p>
        </w:tc>
      </w:tr>
      <w:tr w14:paraId="275D0554">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10543523">
            <w:pPr>
              <w:jc w:val="center"/>
              <w:rPr>
                <w:rFonts w:ascii="宋体" w:hAnsi="宋体" w:eastAsia="宋体" w:cs="Times New Roman"/>
                <w:b/>
                <w:bCs/>
                <w:color w:val="auto"/>
                <w:sz w:val="28"/>
                <w:szCs w:val="28"/>
              </w:rPr>
            </w:pPr>
            <w:r>
              <w:rPr>
                <w:rFonts w:hint="eastAsia" w:ascii="宋体" w:hAnsi="宋体" w:eastAsia="宋体" w:cs="Times New Roman"/>
                <w:b/>
                <w:bCs/>
                <w:color w:val="auto"/>
                <w:sz w:val="28"/>
                <w:szCs w:val="28"/>
              </w:rPr>
              <w:t>供应商</w:t>
            </w:r>
          </w:p>
        </w:tc>
        <w:tc>
          <w:tcPr>
            <w:tcW w:w="6641" w:type="dxa"/>
            <w:tcBorders>
              <w:top w:val="single" w:color="auto" w:sz="4" w:space="0"/>
              <w:left w:val="nil"/>
              <w:bottom w:val="single" w:color="auto" w:sz="4" w:space="0"/>
              <w:right w:val="single" w:color="auto" w:sz="4" w:space="0"/>
            </w:tcBorders>
            <w:vAlign w:val="center"/>
          </w:tcPr>
          <w:p w14:paraId="0EA0792E">
            <w:pPr>
              <w:jc w:val="center"/>
              <w:rPr>
                <w:rFonts w:ascii="宋体" w:hAnsi="宋体" w:eastAsia="宋体" w:cs="Times New Roman"/>
                <w:b/>
                <w:bCs/>
                <w:color w:val="auto"/>
                <w:sz w:val="28"/>
                <w:szCs w:val="28"/>
              </w:rPr>
            </w:pPr>
          </w:p>
        </w:tc>
      </w:tr>
      <w:tr w14:paraId="73FE28B1">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6C293279">
            <w:pPr>
              <w:jc w:val="center"/>
              <w:rPr>
                <w:rFonts w:ascii="宋体" w:hAnsi="宋体" w:eastAsia="宋体" w:cs="Times New Roman"/>
                <w:b/>
                <w:bCs/>
                <w:color w:val="auto"/>
                <w:sz w:val="28"/>
                <w:szCs w:val="28"/>
              </w:rPr>
            </w:pPr>
            <w:r>
              <w:rPr>
                <w:rFonts w:hint="eastAsia" w:ascii="宋体" w:hAnsi="宋体" w:eastAsia="宋体" w:cs="Times New Roman"/>
                <w:b/>
                <w:bCs/>
                <w:color w:val="auto"/>
                <w:sz w:val="28"/>
                <w:szCs w:val="28"/>
              </w:rPr>
              <w:t>工程地点</w:t>
            </w:r>
          </w:p>
        </w:tc>
        <w:tc>
          <w:tcPr>
            <w:tcW w:w="6641" w:type="dxa"/>
            <w:tcBorders>
              <w:top w:val="single" w:color="auto" w:sz="4" w:space="0"/>
              <w:left w:val="nil"/>
              <w:bottom w:val="single" w:color="auto" w:sz="4" w:space="0"/>
              <w:right w:val="single" w:color="auto" w:sz="4" w:space="0"/>
            </w:tcBorders>
            <w:vAlign w:val="center"/>
          </w:tcPr>
          <w:p w14:paraId="5A534792">
            <w:pPr>
              <w:jc w:val="center"/>
              <w:rPr>
                <w:rFonts w:hint="default" w:ascii="宋体" w:hAnsi="宋体" w:eastAsia="宋体" w:cs="Times New Roman"/>
                <w:b/>
                <w:bCs/>
                <w:color w:val="auto"/>
                <w:sz w:val="28"/>
                <w:szCs w:val="28"/>
                <w:lang w:val="en-US" w:eastAsia="zh-CN"/>
              </w:rPr>
            </w:pPr>
            <w:r>
              <w:rPr>
                <w:rFonts w:hint="eastAsia" w:ascii="宋体" w:hAnsi="宋体" w:eastAsia="宋体" w:cs="Times New Roman"/>
                <w:b/>
                <w:bCs/>
                <w:color w:val="auto"/>
                <w:sz w:val="24"/>
                <w:szCs w:val="24"/>
                <w:lang w:val="en-US" w:eastAsia="zh-CN"/>
              </w:rPr>
              <w:t>常州市金坛新城实验幼儿园</w:t>
            </w:r>
          </w:p>
        </w:tc>
      </w:tr>
    </w:tbl>
    <w:p w14:paraId="6360CE42">
      <w:pPr>
        <w:tabs>
          <w:tab w:val="left" w:pos="0"/>
          <w:tab w:val="left" w:pos="993"/>
          <w:tab w:val="left" w:pos="1134"/>
        </w:tabs>
        <w:adjustRightInd w:val="0"/>
        <w:snapToGrid w:val="0"/>
        <w:spacing w:line="360" w:lineRule="auto"/>
        <w:jc w:val="center"/>
        <w:outlineLvl w:val="9"/>
        <w:rPr>
          <w:rFonts w:ascii="宋体" w:hAnsi="宋体" w:eastAsia="宋体" w:cs="Times New Roman"/>
          <w:b/>
          <w:snapToGrid w:val="0"/>
          <w:color w:val="auto"/>
          <w:sz w:val="24"/>
        </w:rPr>
      </w:pPr>
    </w:p>
    <w:p w14:paraId="6C3C4436">
      <w:pPr>
        <w:tabs>
          <w:tab w:val="left" w:pos="0"/>
          <w:tab w:val="left" w:pos="993"/>
          <w:tab w:val="left" w:pos="1134"/>
        </w:tabs>
        <w:adjustRightInd w:val="0"/>
        <w:snapToGrid w:val="0"/>
        <w:spacing w:line="360" w:lineRule="auto"/>
        <w:jc w:val="center"/>
        <w:outlineLvl w:val="9"/>
        <w:rPr>
          <w:rFonts w:ascii="宋体" w:hAnsi="宋体" w:eastAsia="宋体" w:cs="Times New Roman"/>
          <w:b/>
          <w:snapToGrid w:val="0"/>
          <w:color w:val="auto"/>
          <w:sz w:val="24"/>
        </w:rPr>
      </w:pPr>
    </w:p>
    <w:p w14:paraId="0619EE77">
      <w:pPr>
        <w:widowControl w:val="0"/>
        <w:ind w:left="420" w:leftChars="200"/>
        <w:jc w:val="both"/>
        <w:rPr>
          <w:rFonts w:ascii="宋体" w:hAnsi="宋体" w:eastAsia="宋体" w:cs="Times New Roman"/>
          <w:b/>
          <w:snapToGrid w:val="0"/>
          <w:color w:val="auto"/>
          <w:kern w:val="2"/>
          <w:sz w:val="24"/>
          <w:szCs w:val="24"/>
          <w:lang w:val="en-US" w:eastAsia="zh-CN" w:bidi="ar-SA"/>
        </w:rPr>
      </w:pPr>
    </w:p>
    <w:p w14:paraId="6D0820CD">
      <w:pPr>
        <w:rPr>
          <w:rFonts w:ascii="宋体" w:hAnsi="宋体" w:eastAsia="宋体" w:cs="Times New Roman"/>
          <w:b/>
          <w:snapToGrid w:val="0"/>
          <w:color w:val="auto"/>
          <w:sz w:val="24"/>
        </w:rPr>
      </w:pPr>
    </w:p>
    <w:p w14:paraId="223CCDA3">
      <w:pPr>
        <w:widowControl w:val="0"/>
        <w:ind w:left="420" w:leftChars="200"/>
        <w:jc w:val="both"/>
        <w:rPr>
          <w:rFonts w:ascii="宋体" w:hAnsi="宋体" w:eastAsia="宋体" w:cs="Times New Roman"/>
          <w:b/>
          <w:snapToGrid w:val="0"/>
          <w:color w:val="auto"/>
          <w:kern w:val="2"/>
          <w:sz w:val="24"/>
          <w:szCs w:val="24"/>
          <w:lang w:val="en-US" w:eastAsia="zh-CN" w:bidi="ar-SA"/>
        </w:rPr>
      </w:pPr>
    </w:p>
    <w:p w14:paraId="79E6B581">
      <w:pPr>
        <w:rPr>
          <w:rFonts w:ascii="宋体" w:hAnsi="宋体" w:eastAsia="宋体" w:cs="Times New Roman"/>
          <w:b/>
          <w:snapToGrid w:val="0"/>
          <w:color w:val="auto"/>
          <w:sz w:val="24"/>
        </w:rPr>
      </w:pPr>
    </w:p>
    <w:p w14:paraId="789A7E09">
      <w:pPr>
        <w:widowControl w:val="0"/>
        <w:ind w:left="420" w:leftChars="200"/>
        <w:jc w:val="both"/>
        <w:rPr>
          <w:rFonts w:ascii="宋体" w:hAnsi="宋体" w:eastAsia="宋体" w:cs="Times New Roman"/>
          <w:b/>
          <w:snapToGrid w:val="0"/>
          <w:color w:val="auto"/>
          <w:kern w:val="2"/>
          <w:sz w:val="24"/>
          <w:szCs w:val="24"/>
          <w:lang w:val="en-US" w:eastAsia="zh-CN" w:bidi="ar-SA"/>
        </w:rPr>
      </w:pPr>
    </w:p>
    <w:p w14:paraId="7F7A8D20">
      <w:pPr>
        <w:rPr>
          <w:rFonts w:ascii="宋体" w:hAnsi="宋体" w:eastAsia="宋体" w:cs="Times New Roman"/>
          <w:b/>
          <w:snapToGrid w:val="0"/>
          <w:color w:val="auto"/>
          <w:sz w:val="24"/>
        </w:rPr>
      </w:pPr>
    </w:p>
    <w:p w14:paraId="20A2551A">
      <w:pPr>
        <w:widowControl w:val="0"/>
        <w:ind w:left="420" w:leftChars="200"/>
        <w:jc w:val="both"/>
        <w:rPr>
          <w:rFonts w:ascii="Calibri" w:hAnsi="Calibri" w:eastAsia="宋体" w:cs="Times New Roman"/>
          <w:color w:val="auto"/>
          <w:kern w:val="2"/>
          <w:sz w:val="21"/>
          <w:szCs w:val="24"/>
          <w:lang w:val="en-US" w:eastAsia="zh-CN" w:bidi="ar-SA"/>
        </w:rPr>
      </w:pPr>
    </w:p>
    <w:p w14:paraId="391BED25">
      <w:pPr>
        <w:jc w:val="center"/>
        <w:rPr>
          <w:rFonts w:ascii="宋体" w:hAnsi="宋体" w:eastAsia="宋体" w:cs="Times New Roman"/>
          <w:color w:val="auto"/>
          <w:sz w:val="30"/>
          <w:szCs w:val="30"/>
        </w:rPr>
      </w:pPr>
      <w:r>
        <w:rPr>
          <w:rFonts w:hint="eastAsia" w:ascii="宋体" w:hAnsi="宋体" w:eastAsia="宋体" w:cs="Times New Roman"/>
          <w:color w:val="auto"/>
          <w:sz w:val="30"/>
          <w:szCs w:val="30"/>
        </w:rPr>
        <w:t>国家工商行政管理局</w:t>
      </w:r>
    </w:p>
    <w:p w14:paraId="225DD351">
      <w:pPr>
        <w:tabs>
          <w:tab w:val="left" w:pos="0"/>
          <w:tab w:val="left" w:pos="993"/>
          <w:tab w:val="left" w:pos="1134"/>
        </w:tabs>
        <w:adjustRightInd w:val="0"/>
        <w:snapToGrid w:val="0"/>
        <w:spacing w:line="360" w:lineRule="auto"/>
        <w:jc w:val="center"/>
        <w:outlineLvl w:val="9"/>
        <w:rPr>
          <w:rFonts w:ascii="宋体" w:hAnsi="宋体" w:eastAsia="宋体" w:cs="Times New Roman"/>
          <w:color w:val="auto"/>
          <w:sz w:val="44"/>
          <w:szCs w:val="44"/>
        </w:rPr>
      </w:pPr>
      <w:r>
        <w:rPr>
          <w:rFonts w:hint="eastAsia" w:ascii="宋体" w:hAnsi="宋体" w:eastAsia="宋体" w:cs="Times New Roman"/>
          <w:color w:val="auto"/>
          <w:sz w:val="30"/>
          <w:szCs w:val="30"/>
        </w:rPr>
        <w:t xml:space="preserve">         中华人民共和国建设部   </w:t>
      </w:r>
      <w:r>
        <w:rPr>
          <w:rFonts w:hint="eastAsia" w:ascii="宋体" w:hAnsi="宋体" w:eastAsia="宋体" w:cs="Times New Roman"/>
          <w:color w:val="auto"/>
          <w:sz w:val="44"/>
          <w:szCs w:val="44"/>
        </w:rPr>
        <w:t>制定</w:t>
      </w:r>
    </w:p>
    <w:p w14:paraId="10D80F75">
      <w:pPr>
        <w:widowControl/>
        <w:adjustRightInd w:val="0"/>
        <w:snapToGrid w:val="0"/>
        <w:spacing w:line="300" w:lineRule="auto"/>
        <w:ind w:left="986" w:leftChars="240" w:right="-258" w:rightChars="-123" w:hanging="482" w:hangingChars="200"/>
        <w:jc w:val="center"/>
        <w:rPr>
          <w:rFonts w:ascii="宋体" w:hAnsi="宋体" w:eastAsia="宋体" w:cs="宋体"/>
          <w:color w:val="auto"/>
          <w:kern w:val="0"/>
          <w:szCs w:val="21"/>
        </w:rPr>
      </w:pPr>
      <w:r>
        <w:rPr>
          <w:rFonts w:hint="eastAsia" w:ascii="宋体" w:hAnsi="宋体" w:eastAsia="宋体" w:cs="Times New Roman"/>
          <w:b/>
          <w:snapToGrid w:val="0"/>
          <w:color w:val="auto"/>
          <w:sz w:val="24"/>
        </w:rPr>
        <w:br w:type="page"/>
      </w:r>
      <w:r>
        <w:rPr>
          <w:rFonts w:hint="eastAsia" w:ascii="宋体" w:hAnsi="宋体" w:eastAsia="宋体" w:cs="宋体"/>
          <w:b/>
          <w:bCs/>
          <w:color w:val="auto"/>
          <w:sz w:val="28"/>
          <w:szCs w:val="28"/>
        </w:rPr>
        <w:t>第一部分   协  议  书</w:t>
      </w:r>
    </w:p>
    <w:p w14:paraId="2E083FA3">
      <w:pPr>
        <w:widowControl/>
        <w:adjustRightInd w:val="0"/>
        <w:snapToGrid w:val="0"/>
        <w:spacing w:line="340" w:lineRule="exact"/>
        <w:ind w:firstLine="3373" w:firstLineChars="1600"/>
        <w:jc w:val="left"/>
        <w:rPr>
          <w:rFonts w:ascii="宋体" w:hAnsi="宋体" w:eastAsia="宋体" w:cs="宋体"/>
          <w:b/>
          <w:bCs/>
          <w:color w:val="auto"/>
          <w:kern w:val="0"/>
          <w:szCs w:val="21"/>
        </w:rPr>
      </w:pPr>
      <w:r>
        <w:rPr>
          <w:rFonts w:hint="eastAsia" w:ascii="宋体" w:hAnsi="宋体" w:eastAsia="宋体" w:cs="宋体"/>
          <w:b/>
          <w:bCs/>
          <w:color w:val="auto"/>
          <w:kern w:val="0"/>
          <w:szCs w:val="21"/>
        </w:rPr>
        <w:t xml:space="preserve"> </w:t>
      </w:r>
    </w:p>
    <w:p w14:paraId="550FADF6">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 xml:space="preserve">    甲方 ：</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常州市金坛新城实验幼儿园</w:t>
      </w:r>
      <w:r>
        <w:rPr>
          <w:rFonts w:hint="eastAsia" w:ascii="宋体" w:hAnsi="宋体" w:eastAsia="宋体" w:cs="宋体"/>
          <w:color w:val="auto"/>
          <w:szCs w:val="21"/>
          <w:u w:val="single"/>
          <w:lang w:val="en-US" w:eastAsia="zh-CN"/>
        </w:rPr>
        <w:t xml:space="preserve">       </w:t>
      </w:r>
    </w:p>
    <w:p w14:paraId="520F5C7F">
      <w:pPr>
        <w:spacing w:line="360" w:lineRule="auto"/>
        <w:ind w:firstLine="420" w:firstLineChars="200"/>
        <w:rPr>
          <w:rFonts w:hint="default" w:ascii="宋体" w:hAnsi="宋体" w:eastAsia="宋体" w:cs="宋体"/>
          <w:color w:val="auto"/>
          <w:szCs w:val="21"/>
          <w:lang w:val="en-US"/>
        </w:rPr>
      </w:pPr>
      <w:r>
        <w:rPr>
          <w:rFonts w:hint="eastAsia" w:ascii="宋体" w:hAnsi="宋体" w:eastAsia="宋体" w:cs="宋体"/>
          <w:color w:val="auto"/>
          <w:szCs w:val="21"/>
        </w:rPr>
        <w:t>乙方 ：</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p>
    <w:p w14:paraId="74737586">
      <w:pPr>
        <w:spacing w:line="360" w:lineRule="auto"/>
        <w:rPr>
          <w:rFonts w:ascii="宋体" w:hAnsi="宋体" w:eastAsia="宋体" w:cs="宋体"/>
          <w:color w:val="auto"/>
          <w:szCs w:val="21"/>
        </w:rPr>
      </w:pPr>
      <w:r>
        <w:rPr>
          <w:rFonts w:hint="eastAsia" w:ascii="宋体" w:hAnsi="宋体" w:eastAsia="宋体" w:cs="宋体"/>
          <w:color w:val="auto"/>
          <w:szCs w:val="21"/>
        </w:rPr>
        <w:t xml:space="preserve">    依照《中华人民共和国民法典》、《</w:t>
      </w:r>
      <w:r>
        <w:rPr>
          <w:rFonts w:ascii="Calibri" w:hAnsi="Calibri" w:eastAsia="宋体" w:cs="Times New Roman"/>
          <w:color w:val="auto"/>
        </w:rPr>
        <w:fldChar w:fldCharType="begin"/>
      </w:r>
      <w:r>
        <w:rPr>
          <w:rFonts w:ascii="Calibri" w:hAnsi="Calibri" w:eastAsia="宋体" w:cs="Times New Roman"/>
          <w:color w:val="auto"/>
        </w:rPr>
        <w:instrText xml:space="preserve"> HYPERLINK "javascript:SLC(18974,0)" </w:instrText>
      </w:r>
      <w:r>
        <w:rPr>
          <w:rFonts w:ascii="Calibri" w:hAnsi="Calibri" w:eastAsia="宋体" w:cs="Times New Roman"/>
          <w:color w:val="auto"/>
        </w:rPr>
        <w:fldChar w:fldCharType="separate"/>
      </w:r>
      <w:r>
        <w:rPr>
          <w:rFonts w:hint="eastAsia" w:ascii="宋体" w:hAnsi="宋体" w:eastAsia="宋体" w:cs="宋体"/>
          <w:color w:val="auto"/>
          <w:szCs w:val="21"/>
          <w:u w:val="none"/>
        </w:rPr>
        <w:t>中华人民共和国建筑</w:t>
      </w:r>
      <w:bookmarkStart w:id="19" w:name="_Hlt103331644"/>
      <w:bookmarkStart w:id="20" w:name="_Hlt103331645"/>
      <w:r>
        <w:rPr>
          <w:rFonts w:hint="eastAsia" w:ascii="宋体" w:hAnsi="宋体" w:eastAsia="宋体" w:cs="宋体"/>
          <w:color w:val="auto"/>
          <w:szCs w:val="21"/>
          <w:u w:val="none"/>
        </w:rPr>
        <w:t>法</w:t>
      </w:r>
      <w:bookmarkEnd w:id="19"/>
      <w:bookmarkEnd w:id="20"/>
      <w:r>
        <w:rPr>
          <w:rFonts w:hint="eastAsia" w:ascii="宋体" w:hAnsi="宋体" w:eastAsia="宋体" w:cs="宋体"/>
          <w:color w:val="auto"/>
          <w:szCs w:val="21"/>
          <w:u w:val="none"/>
        </w:rPr>
        <w:fldChar w:fldCharType="end"/>
      </w:r>
      <w:r>
        <w:rPr>
          <w:rFonts w:hint="eastAsia" w:ascii="宋体" w:hAnsi="宋体" w:eastAsia="宋体" w:cs="宋体"/>
          <w:color w:val="auto"/>
          <w:szCs w:val="21"/>
        </w:rPr>
        <w:t>》及其它有关法律、行政法规，遵循平等、自愿、公平和诚实信用的原则，甲方和乙方双方就本工程施工事项经协商达成一致，订立本合同。</w:t>
      </w:r>
    </w:p>
    <w:p w14:paraId="3013DB5C">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 xml:space="preserve"> 一、工程概况：</w:t>
      </w:r>
    </w:p>
    <w:p w14:paraId="62905E0D">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工程名称：</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lang w:eastAsia="zh-CN"/>
        </w:rPr>
        <w:t>新城实验幼儿园暑期木质防护</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kern w:val="0"/>
          <w:szCs w:val="21"/>
        </w:rPr>
        <w:t>。</w:t>
      </w:r>
      <w:r>
        <w:rPr>
          <w:rFonts w:hint="eastAsia" w:ascii="宋体" w:hAnsi="宋体" w:eastAsia="宋体" w:cs="宋体"/>
          <w:color w:val="auto"/>
          <w:szCs w:val="21"/>
        </w:rPr>
        <w:t xml:space="preserve">               </w:t>
      </w:r>
    </w:p>
    <w:p w14:paraId="06A6D1A5">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二、工程承包范围：</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招标清单、控制价及编制说明等包括的全部内容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r>
        <w:rPr>
          <w:rFonts w:hint="eastAsia" w:ascii="宋体" w:hAnsi="宋体" w:eastAsia="宋体" w:cs="宋体"/>
          <w:b/>
          <w:bCs/>
          <w:color w:val="auto"/>
          <w:szCs w:val="21"/>
        </w:rPr>
        <w:t xml:space="preserve">           </w:t>
      </w:r>
    </w:p>
    <w:p w14:paraId="38467C3A">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三、合同工期</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u w:val="single"/>
          <w:lang w:val="en-US" w:eastAsia="zh-CN"/>
        </w:rPr>
        <w:t xml:space="preserve">    日历天</w:t>
      </w:r>
      <w:r>
        <w:rPr>
          <w:rFonts w:hint="eastAsia" w:ascii="宋体" w:hAnsi="宋体" w:eastAsia="宋体" w:cs="宋体"/>
          <w:b/>
          <w:bCs/>
          <w:color w:val="auto"/>
          <w:szCs w:val="21"/>
          <w:highlight w:val="none"/>
        </w:rPr>
        <w:t>。</w:t>
      </w:r>
    </w:p>
    <w:p w14:paraId="41F77713">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计划开工日期：</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b/>
          <w:bCs/>
          <w:color w:val="auto"/>
          <w:szCs w:val="21"/>
          <w:u w:val="single"/>
        </w:rPr>
        <w:t>年</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b/>
          <w:bCs/>
          <w:color w:val="auto"/>
          <w:szCs w:val="21"/>
          <w:u w:val="single"/>
        </w:rPr>
        <w:t>月</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rPr>
        <w:t>日</w:t>
      </w:r>
      <w:r>
        <w:rPr>
          <w:rFonts w:hint="eastAsia" w:ascii="宋体" w:hAnsi="宋体" w:eastAsia="宋体" w:cs="宋体"/>
          <w:b/>
          <w:bCs/>
          <w:color w:val="auto"/>
          <w:szCs w:val="21"/>
        </w:rPr>
        <w:t>，计划竣工日期：</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b/>
          <w:bCs/>
          <w:color w:val="auto"/>
          <w:szCs w:val="21"/>
          <w:u w:val="single"/>
        </w:rPr>
        <w:t>年</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rPr>
        <w:t>月</w:t>
      </w:r>
      <w:r>
        <w:rPr>
          <w:rFonts w:ascii="宋体" w:hAnsi="宋体" w:eastAsia="宋体" w:cs="宋体"/>
          <w:b/>
          <w:bCs/>
          <w:color w:val="auto"/>
          <w:szCs w:val="21"/>
          <w:u w:val="single"/>
        </w:rPr>
        <w:t xml:space="preserve">   </w:t>
      </w:r>
      <w:r>
        <w:rPr>
          <w:rFonts w:hint="eastAsia" w:ascii="宋体" w:hAnsi="宋体" w:eastAsia="宋体" w:cs="宋体"/>
          <w:b/>
          <w:bCs/>
          <w:color w:val="auto"/>
          <w:szCs w:val="21"/>
          <w:u w:val="single"/>
        </w:rPr>
        <w:t>日</w:t>
      </w:r>
      <w:r>
        <w:rPr>
          <w:rFonts w:hint="eastAsia" w:ascii="宋体" w:hAnsi="宋体" w:eastAsia="宋体" w:cs="宋体"/>
          <w:b/>
          <w:bCs/>
          <w:color w:val="auto"/>
          <w:szCs w:val="21"/>
        </w:rPr>
        <w:t>。</w:t>
      </w:r>
    </w:p>
    <w:p w14:paraId="4BF75A06">
      <w:pPr>
        <w:spacing w:line="360" w:lineRule="auto"/>
        <w:ind w:left="400"/>
        <w:rPr>
          <w:rFonts w:hint="eastAsia" w:ascii="宋体" w:hAnsi="宋体" w:eastAsia="宋体" w:cs="宋体"/>
          <w:color w:val="auto"/>
          <w:szCs w:val="21"/>
          <w:u w:val="single"/>
          <w:lang w:val="en-US" w:eastAsia="zh-CN"/>
        </w:rPr>
      </w:pPr>
      <w:r>
        <w:rPr>
          <w:rFonts w:hint="eastAsia" w:ascii="宋体" w:hAnsi="宋体" w:eastAsia="宋体" w:cs="宋体"/>
          <w:b/>
          <w:bCs/>
          <w:color w:val="auto"/>
          <w:szCs w:val="21"/>
        </w:rPr>
        <w:t>四、质量等级：</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color w:val="auto"/>
          <w:szCs w:val="21"/>
          <w:u w:val="single"/>
        </w:rPr>
        <w:t>合格</w:t>
      </w:r>
      <w:r>
        <w:rPr>
          <w:rFonts w:hint="eastAsia" w:ascii="宋体" w:hAnsi="宋体" w:eastAsia="宋体" w:cs="宋体"/>
          <w:color w:val="auto"/>
          <w:szCs w:val="21"/>
          <w:u w:val="single"/>
          <w:lang w:val="en-US" w:eastAsia="zh-CN"/>
        </w:rPr>
        <w:t xml:space="preserve"> </w:t>
      </w:r>
    </w:p>
    <w:p w14:paraId="3F4520A9">
      <w:pPr>
        <w:widowControl/>
        <w:spacing w:line="360" w:lineRule="auto"/>
        <w:ind w:left="400"/>
        <w:rPr>
          <w:rFonts w:ascii="宋体" w:hAnsi="宋体" w:eastAsia="宋体" w:cs="宋体"/>
          <w:b/>
          <w:bCs/>
          <w:color w:val="auto"/>
          <w:szCs w:val="21"/>
        </w:rPr>
      </w:pPr>
      <w:r>
        <w:rPr>
          <w:rFonts w:hint="eastAsia" w:ascii="宋体" w:hAnsi="宋体" w:eastAsia="宋体" w:cs="宋体"/>
          <w:b/>
          <w:bCs/>
          <w:color w:val="auto"/>
          <w:szCs w:val="21"/>
        </w:rPr>
        <w:t>五、签约合同价与合同价格形式</w:t>
      </w:r>
    </w:p>
    <w:p w14:paraId="3CD27318">
      <w:pPr>
        <w:widowControl/>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1.签约合同价为：</w:t>
      </w:r>
    </w:p>
    <w:p w14:paraId="60474312">
      <w:pPr>
        <w:widowControl/>
        <w:spacing w:line="360" w:lineRule="auto"/>
        <w:ind w:firstLine="525" w:firstLineChars="250"/>
        <w:rPr>
          <w:rFonts w:ascii="宋体" w:hAnsi="宋体" w:eastAsia="宋体" w:cs="宋体"/>
          <w:color w:val="auto"/>
          <w:szCs w:val="21"/>
        </w:rPr>
      </w:pPr>
      <w:r>
        <w:rPr>
          <w:rFonts w:hint="eastAsia" w:ascii="宋体" w:hAnsi="宋体" w:eastAsia="宋体" w:cs="宋体"/>
          <w:color w:val="auto"/>
          <w:szCs w:val="21"/>
        </w:rPr>
        <w:t>人民币（大写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w:t>
      </w:r>
    </w:p>
    <w:p w14:paraId="498019E4">
      <w:pPr>
        <w:widowControl/>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其中：</w:t>
      </w:r>
    </w:p>
    <w:p w14:paraId="0461C2C1">
      <w:pPr>
        <w:widowControl/>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（1）安全文明施工费：</w:t>
      </w:r>
    </w:p>
    <w:p w14:paraId="1A432BFA">
      <w:pPr>
        <w:widowControl/>
        <w:spacing w:line="360" w:lineRule="auto"/>
        <w:ind w:firstLine="945" w:firstLineChars="450"/>
        <w:rPr>
          <w:rFonts w:ascii="宋体" w:hAnsi="宋体" w:eastAsia="宋体" w:cs="宋体"/>
          <w:color w:val="auto"/>
          <w:szCs w:val="21"/>
        </w:rPr>
      </w:pPr>
      <w:r>
        <w:rPr>
          <w:rFonts w:hint="eastAsia" w:ascii="宋体" w:hAnsi="宋体" w:eastAsia="宋体" w:cs="宋体"/>
          <w:color w:val="auto"/>
          <w:szCs w:val="21"/>
        </w:rPr>
        <w:t>人民币（大写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w:t>
      </w:r>
    </w:p>
    <w:p w14:paraId="55541924">
      <w:pPr>
        <w:widowControl/>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（2）暂列金额：</w:t>
      </w:r>
    </w:p>
    <w:p w14:paraId="6E7B4D78">
      <w:pPr>
        <w:widowControl/>
        <w:spacing w:line="360" w:lineRule="auto"/>
        <w:ind w:firstLine="840" w:firstLineChars="400"/>
        <w:rPr>
          <w:rFonts w:ascii="宋体" w:hAnsi="宋体" w:eastAsia="宋体" w:cs="宋体"/>
          <w:color w:val="auto"/>
          <w:szCs w:val="21"/>
        </w:rPr>
      </w:pPr>
      <w:r>
        <w:rPr>
          <w:rFonts w:hint="eastAsia" w:ascii="宋体" w:hAnsi="宋体" w:eastAsia="宋体" w:cs="宋体"/>
          <w:color w:val="auto"/>
          <w:szCs w:val="21"/>
        </w:rPr>
        <w:t>人民币（大写</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元)。</w:t>
      </w:r>
    </w:p>
    <w:p w14:paraId="006AA145">
      <w:pPr>
        <w:widowControl/>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2.合同价格形式：</w:t>
      </w:r>
      <w:r>
        <w:rPr>
          <w:rFonts w:hint="eastAsia" w:ascii="宋体" w:hAnsi="宋体" w:eastAsia="宋体" w:cs="宋体"/>
          <w:color w:val="auto"/>
          <w:szCs w:val="21"/>
          <w:u w:val="single"/>
        </w:rPr>
        <w:t>综合单价</w:t>
      </w:r>
      <w:r>
        <w:rPr>
          <w:rFonts w:hint="eastAsia" w:ascii="宋体" w:hAnsi="宋体" w:eastAsia="宋体" w:cs="宋体"/>
          <w:color w:val="auto"/>
          <w:szCs w:val="21"/>
        </w:rPr>
        <w:t>。</w:t>
      </w:r>
    </w:p>
    <w:p w14:paraId="24604B72">
      <w:pPr>
        <w:widowControl/>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六、组成合同的文件</w:t>
      </w:r>
    </w:p>
    <w:p w14:paraId="61350A52">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组成本合同的文件包括</w:t>
      </w:r>
    </w:p>
    <w:p w14:paraId="01CB0989">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1、本合同协议书</w:t>
      </w:r>
    </w:p>
    <w:p w14:paraId="5751F2FA">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2、中标通知书</w:t>
      </w:r>
    </w:p>
    <w:p w14:paraId="49FDE63F">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3、采购标底价及其附件</w:t>
      </w:r>
    </w:p>
    <w:p w14:paraId="2419B83C">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4、本合同专用条款</w:t>
      </w:r>
    </w:p>
    <w:p w14:paraId="6389F6CB">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5、本合同通用条款</w:t>
      </w:r>
    </w:p>
    <w:p w14:paraId="6ED1CF81">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6、标准、规范及有关技术文件</w:t>
      </w:r>
    </w:p>
    <w:p w14:paraId="2980746E">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7、施工图纸</w:t>
      </w:r>
    </w:p>
    <w:p w14:paraId="26B832BF">
      <w:pPr>
        <w:widowControl/>
        <w:spacing w:line="360" w:lineRule="auto"/>
        <w:ind w:firstLine="420"/>
        <w:rPr>
          <w:rFonts w:ascii="宋体" w:hAnsi="宋体" w:eastAsia="宋体" w:cs="宋体"/>
          <w:color w:val="auto"/>
          <w:szCs w:val="21"/>
        </w:rPr>
      </w:pPr>
      <w:r>
        <w:rPr>
          <w:rFonts w:hint="eastAsia" w:ascii="宋体" w:hAnsi="宋体" w:eastAsia="宋体" w:cs="宋体"/>
          <w:color w:val="auto"/>
          <w:szCs w:val="21"/>
        </w:rPr>
        <w:t>8、采购标底</w:t>
      </w:r>
    </w:p>
    <w:p w14:paraId="137A6C16">
      <w:pPr>
        <w:widowControl/>
        <w:spacing w:line="360" w:lineRule="auto"/>
        <w:ind w:firstLine="420"/>
        <w:rPr>
          <w:rFonts w:ascii="宋体" w:hAnsi="宋体" w:eastAsia="宋体" w:cs="宋体"/>
          <w:color w:val="auto"/>
          <w:szCs w:val="21"/>
        </w:rPr>
      </w:pPr>
      <w:r>
        <w:rPr>
          <w:rFonts w:hint="eastAsia" w:ascii="宋体" w:hAnsi="宋体" w:eastAsia="宋体" w:cs="宋体"/>
          <w:color w:val="auto"/>
          <w:szCs w:val="21"/>
        </w:rPr>
        <w:t>9、工程编制说明</w:t>
      </w:r>
    </w:p>
    <w:p w14:paraId="48681201">
      <w:pPr>
        <w:widowControl/>
        <w:spacing w:line="360" w:lineRule="auto"/>
        <w:rPr>
          <w:rFonts w:ascii="宋体" w:hAnsi="宋体" w:eastAsia="宋体" w:cs="宋体"/>
          <w:color w:val="auto"/>
          <w:szCs w:val="21"/>
        </w:rPr>
      </w:pPr>
      <w:r>
        <w:rPr>
          <w:rFonts w:hint="eastAsia" w:ascii="宋体" w:hAnsi="宋体" w:eastAsia="宋体" w:cs="宋体"/>
          <w:color w:val="auto"/>
          <w:szCs w:val="21"/>
        </w:rPr>
        <w:t xml:space="preserve">      双方有关工程的洽商、变更等书面协议或文件视为本合同的组成部分。</w:t>
      </w:r>
    </w:p>
    <w:p w14:paraId="33AC70ED">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七、本协议书中有关词语含义与本合同第二部分《通用条款》中分别赋予它们的定义相同。</w:t>
      </w:r>
    </w:p>
    <w:p w14:paraId="6E806FD1">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八、向甲方承诺按照合同约定进行施工、竣工并在质量保修期内承担工程质量保修责任。</w:t>
      </w:r>
    </w:p>
    <w:p w14:paraId="23F30015">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九、甲方向乙方承诺按照约定的期限和方式支付合同价款及其他应当支付的款项。</w:t>
      </w:r>
    </w:p>
    <w:p w14:paraId="49A5CDC9">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十、合同生效</w:t>
      </w:r>
    </w:p>
    <w:p w14:paraId="239D74B1">
      <w:pPr>
        <w:spacing w:line="360" w:lineRule="auto"/>
        <w:rPr>
          <w:rFonts w:ascii="宋体" w:hAnsi="宋体" w:eastAsia="宋体" w:cs="宋体"/>
          <w:color w:val="auto"/>
          <w:szCs w:val="21"/>
        </w:rPr>
      </w:pPr>
      <w:r>
        <w:rPr>
          <w:rFonts w:hint="eastAsia" w:ascii="宋体" w:hAnsi="宋体" w:eastAsia="宋体" w:cs="宋体"/>
          <w:color w:val="auto"/>
          <w:szCs w:val="21"/>
        </w:rPr>
        <w:t xml:space="preserve">    合同订立时间：</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F58E22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合同订立地点：</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常州市金坛新城实验幼儿园</w:t>
      </w:r>
      <w:r>
        <w:rPr>
          <w:rFonts w:hint="eastAsia" w:ascii="宋体" w:hAnsi="宋体" w:eastAsia="宋体" w:cs="宋体"/>
          <w:color w:val="auto"/>
          <w:szCs w:val="21"/>
          <w:u w:val="single"/>
        </w:rPr>
        <w:t xml:space="preserve">  </w:t>
      </w:r>
    </w:p>
    <w:p w14:paraId="62ABFC43">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本合同双方约定</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签字盖章</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后生效。</w:t>
      </w:r>
    </w:p>
    <w:p w14:paraId="36374A67">
      <w:pPr>
        <w:adjustRightInd w:val="0"/>
        <w:snapToGrid w:val="0"/>
        <w:spacing w:line="360" w:lineRule="auto"/>
        <w:jc w:val="center"/>
        <w:rPr>
          <w:rFonts w:ascii="宋体" w:hAnsi="宋体" w:eastAsia="宋体" w:cs="宋体"/>
          <w:b/>
          <w:bCs/>
          <w:color w:val="auto"/>
          <w:szCs w:val="21"/>
        </w:rPr>
      </w:pPr>
      <w:r>
        <w:rPr>
          <w:rFonts w:hint="eastAsia" w:ascii="宋体" w:hAnsi="宋体" w:eastAsia="宋体" w:cs="宋体"/>
          <w:b/>
          <w:bCs/>
          <w:color w:val="auto"/>
          <w:szCs w:val="21"/>
        </w:rPr>
        <w:t xml:space="preserve"> </w:t>
      </w:r>
    </w:p>
    <w:p w14:paraId="4CD73039">
      <w:pPr>
        <w:adjustRightInd w:val="0"/>
        <w:snapToGrid w:val="0"/>
        <w:spacing w:line="360" w:lineRule="auto"/>
        <w:jc w:val="center"/>
        <w:rPr>
          <w:rFonts w:ascii="宋体" w:hAnsi="宋体" w:eastAsia="宋体" w:cs="宋体"/>
          <w:b/>
          <w:bCs/>
          <w:color w:val="auto"/>
          <w:szCs w:val="21"/>
        </w:rPr>
      </w:pPr>
      <w:r>
        <w:rPr>
          <w:rFonts w:hint="eastAsia" w:ascii="宋体" w:hAnsi="宋体" w:eastAsia="宋体" w:cs="宋体"/>
          <w:b/>
          <w:bCs/>
          <w:color w:val="auto"/>
          <w:sz w:val="28"/>
          <w:szCs w:val="28"/>
        </w:rPr>
        <w:t>第二部分  通用条款</w:t>
      </w:r>
    </w:p>
    <w:p w14:paraId="63D07F04">
      <w:pPr>
        <w:adjustRightInd w:val="0"/>
        <w:snapToGrid w:val="0"/>
        <w:spacing w:line="360" w:lineRule="auto"/>
        <w:ind w:firstLine="560"/>
        <w:rPr>
          <w:rFonts w:ascii="宋体" w:hAnsi="宋体" w:eastAsia="宋体" w:cs="宋体"/>
          <w:color w:val="auto"/>
          <w:szCs w:val="21"/>
        </w:rPr>
      </w:pPr>
      <w:r>
        <w:rPr>
          <w:rFonts w:hint="eastAsia" w:ascii="宋体" w:hAnsi="宋体" w:eastAsia="宋体" w:cs="宋体"/>
          <w:color w:val="auto"/>
          <w:szCs w:val="21"/>
        </w:rPr>
        <w:t xml:space="preserve"> </w:t>
      </w:r>
    </w:p>
    <w:p w14:paraId="1DE2CBEB">
      <w:pPr>
        <w:spacing w:line="360" w:lineRule="auto"/>
        <w:jc w:val="center"/>
        <w:rPr>
          <w:rFonts w:ascii="宋体" w:hAnsi="宋体" w:eastAsia="宋体" w:cs="宋体"/>
          <w:b/>
          <w:bCs/>
          <w:color w:val="auto"/>
          <w:szCs w:val="21"/>
        </w:rPr>
      </w:pPr>
      <w:r>
        <w:rPr>
          <w:rFonts w:hint="eastAsia" w:ascii="宋体" w:hAnsi="宋体" w:eastAsia="宋体" w:cs="宋体"/>
          <w:color w:val="auto"/>
          <w:szCs w:val="21"/>
        </w:rPr>
        <w:t>此部分采用《建设工程施工合同》范本（GF-1999-0201）中《第二部分  通用条款》</w:t>
      </w:r>
      <w:r>
        <w:rPr>
          <w:rFonts w:hint="eastAsia" w:ascii="宋体" w:hAnsi="宋体" w:eastAsia="宋体" w:cs="宋体"/>
          <w:b/>
          <w:bCs/>
          <w:color w:val="auto"/>
          <w:szCs w:val="21"/>
        </w:rPr>
        <w:t xml:space="preserve"> </w:t>
      </w:r>
    </w:p>
    <w:p w14:paraId="26282498">
      <w:pPr>
        <w:spacing w:line="360" w:lineRule="auto"/>
        <w:jc w:val="center"/>
        <w:rPr>
          <w:rFonts w:ascii="宋体" w:hAnsi="宋体" w:eastAsia="宋体" w:cs="宋体"/>
          <w:b/>
          <w:bCs/>
          <w:color w:val="auto"/>
          <w:szCs w:val="21"/>
        </w:rPr>
      </w:pPr>
      <w:r>
        <w:rPr>
          <w:rFonts w:hint="eastAsia" w:ascii="宋体" w:hAnsi="宋体" w:eastAsia="宋体" w:cs="宋体"/>
          <w:b/>
          <w:bCs/>
          <w:color w:val="auto"/>
          <w:szCs w:val="21"/>
        </w:rPr>
        <w:t xml:space="preserve"> </w:t>
      </w:r>
    </w:p>
    <w:p w14:paraId="3824D44A">
      <w:pPr>
        <w:spacing w:line="360" w:lineRule="auto"/>
        <w:jc w:val="center"/>
        <w:rPr>
          <w:rFonts w:ascii="宋体" w:hAnsi="宋体" w:eastAsia="宋体" w:cs="宋体"/>
          <w:b/>
          <w:bCs/>
          <w:color w:val="auto"/>
          <w:szCs w:val="21"/>
        </w:rPr>
      </w:pPr>
      <w:r>
        <w:rPr>
          <w:rFonts w:hint="eastAsia" w:ascii="宋体" w:hAnsi="宋体" w:eastAsia="宋体" w:cs="宋体"/>
          <w:b/>
          <w:bCs/>
          <w:color w:val="auto"/>
          <w:sz w:val="28"/>
          <w:szCs w:val="28"/>
        </w:rPr>
        <w:t>第三部分 专用条款</w:t>
      </w:r>
    </w:p>
    <w:p w14:paraId="3687DDF3">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一、词语定义及合同文件</w:t>
      </w:r>
    </w:p>
    <w:p w14:paraId="56398269">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1、合同文件及解释顺序</w:t>
      </w:r>
    </w:p>
    <w:p w14:paraId="395E82EE">
      <w:pPr>
        <w:spacing w:line="360" w:lineRule="auto"/>
        <w:ind w:firstLine="570"/>
        <w:rPr>
          <w:rFonts w:ascii="宋体" w:hAnsi="宋体" w:eastAsia="宋体" w:cs="宋体"/>
          <w:color w:val="auto"/>
          <w:szCs w:val="21"/>
        </w:rPr>
      </w:pPr>
      <w:r>
        <w:rPr>
          <w:rFonts w:hint="eastAsia" w:ascii="宋体" w:hAnsi="宋体" w:eastAsia="宋体" w:cs="宋体"/>
          <w:color w:val="auto"/>
          <w:szCs w:val="21"/>
        </w:rPr>
        <w:t>合同文件组成及解释顺序：</w:t>
      </w:r>
      <w:r>
        <w:rPr>
          <w:rFonts w:hint="eastAsia" w:ascii="宋体" w:hAnsi="宋体" w:eastAsia="宋体" w:cs="宋体"/>
          <w:b/>
          <w:bCs/>
          <w:color w:val="auto"/>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14:paraId="49936148">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2、语言文字和适用法律、标准及规范</w:t>
      </w:r>
    </w:p>
    <w:p w14:paraId="28469548">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rPr>
        <w:t xml:space="preserve">    2、l本合同除使用汉语外，还使用</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语言文字</w:t>
      </w:r>
      <w:r>
        <w:rPr>
          <w:rFonts w:hint="eastAsia" w:ascii="宋体" w:hAnsi="宋体" w:eastAsia="宋体" w:cs="宋体"/>
          <w:color w:val="auto"/>
          <w:szCs w:val="21"/>
          <w:lang w:eastAsia="zh-CN"/>
        </w:rPr>
        <w:t>。</w:t>
      </w:r>
    </w:p>
    <w:p w14:paraId="1DDDEABD">
      <w:pPr>
        <w:spacing w:line="360" w:lineRule="auto"/>
        <w:rPr>
          <w:rFonts w:ascii="宋体" w:hAnsi="宋体" w:eastAsia="宋体" w:cs="宋体"/>
          <w:color w:val="auto"/>
          <w:szCs w:val="21"/>
        </w:rPr>
      </w:pPr>
      <w:r>
        <w:rPr>
          <w:rFonts w:hint="eastAsia" w:ascii="宋体" w:hAnsi="宋体" w:eastAsia="宋体" w:cs="宋体"/>
          <w:color w:val="auto"/>
          <w:szCs w:val="21"/>
        </w:rPr>
        <w:t xml:space="preserve">    2．2适用法律和法规</w:t>
      </w:r>
    </w:p>
    <w:p w14:paraId="231D2DE0">
      <w:pPr>
        <w:spacing w:line="360" w:lineRule="auto"/>
        <w:ind w:firstLine="420"/>
        <w:rPr>
          <w:rFonts w:ascii="宋体" w:hAnsi="宋体" w:eastAsia="宋体" w:cs="宋体"/>
          <w:b/>
          <w:bCs/>
          <w:color w:val="auto"/>
          <w:szCs w:val="21"/>
          <w:u w:val="single"/>
        </w:rPr>
      </w:pPr>
      <w:r>
        <w:rPr>
          <w:rFonts w:hint="eastAsia" w:ascii="宋体" w:hAnsi="宋体" w:eastAsia="宋体" w:cs="宋体"/>
          <w:color w:val="auto"/>
          <w:szCs w:val="21"/>
        </w:rPr>
        <w:t>需要明示的法律、行政法规：</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《中华人民共和国民法典》、《建筑法》等现行有关建设管理法规条例。</w:t>
      </w:r>
    </w:p>
    <w:p w14:paraId="4C5C4D66">
      <w:pPr>
        <w:spacing w:line="360" w:lineRule="auto"/>
        <w:ind w:firstLine="420"/>
        <w:rPr>
          <w:rFonts w:ascii="宋体" w:hAnsi="宋体" w:eastAsia="宋体" w:cs="宋体"/>
          <w:color w:val="auto"/>
          <w:szCs w:val="21"/>
        </w:rPr>
      </w:pPr>
      <w:r>
        <w:rPr>
          <w:rFonts w:hint="eastAsia" w:ascii="宋体" w:hAnsi="宋体" w:eastAsia="宋体" w:cs="宋体"/>
          <w:color w:val="auto"/>
          <w:szCs w:val="21"/>
        </w:rPr>
        <w:t xml:space="preserve">2.3适用标准、规范                                                                            </w:t>
      </w:r>
    </w:p>
    <w:p w14:paraId="178A340B">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适用标准、规范的名称: </w:t>
      </w:r>
      <w:r>
        <w:rPr>
          <w:rFonts w:hint="eastAsia" w:ascii="宋体" w:hAnsi="宋体" w:eastAsia="宋体" w:cs="宋体"/>
          <w:b/>
          <w:bCs/>
          <w:color w:val="auto"/>
          <w:szCs w:val="21"/>
          <w:u w:val="single"/>
        </w:rPr>
        <w:t xml:space="preserve">国家颁布的有关建筑安装施工规范及验收、评定统一标准 。                </w:t>
      </w:r>
      <w:r>
        <w:rPr>
          <w:rFonts w:hint="eastAsia" w:ascii="宋体" w:hAnsi="宋体" w:eastAsia="宋体" w:cs="宋体"/>
          <w:color w:val="auto"/>
          <w:szCs w:val="21"/>
          <w:u w:val="single"/>
        </w:rPr>
        <w:t xml:space="preserve">                            </w:t>
      </w:r>
    </w:p>
    <w:p w14:paraId="7A9DF237">
      <w:pPr>
        <w:spacing w:line="360" w:lineRule="auto"/>
        <w:rPr>
          <w:rFonts w:ascii="宋体" w:hAnsi="宋体" w:eastAsia="宋体" w:cs="宋体"/>
          <w:color w:val="auto"/>
          <w:szCs w:val="21"/>
        </w:rPr>
      </w:pPr>
      <w:r>
        <w:rPr>
          <w:rFonts w:hint="eastAsia" w:ascii="宋体" w:hAnsi="宋体" w:eastAsia="宋体" w:cs="宋体"/>
          <w:color w:val="auto"/>
          <w:szCs w:val="21"/>
        </w:rPr>
        <w:t xml:space="preserve">    甲方提供标准。规范的时间:</w:t>
      </w:r>
      <w:r>
        <w:rPr>
          <w:rFonts w:hint="eastAsia" w:ascii="宋体" w:hAnsi="宋体" w:eastAsia="宋体" w:cs="宋体"/>
          <w:color w:val="auto"/>
          <w:szCs w:val="21"/>
          <w:u w:val="single"/>
        </w:rPr>
        <w:t xml:space="preserve">                 /              </w:t>
      </w:r>
    </w:p>
    <w:p w14:paraId="4246651C">
      <w:pPr>
        <w:spacing w:line="360" w:lineRule="auto"/>
        <w:rPr>
          <w:rFonts w:ascii="宋体" w:hAnsi="宋体" w:eastAsia="宋体" w:cs="宋体"/>
          <w:color w:val="auto"/>
          <w:szCs w:val="21"/>
        </w:rPr>
      </w:pPr>
      <w:r>
        <w:rPr>
          <w:rFonts w:hint="eastAsia" w:ascii="宋体" w:hAnsi="宋体" w:eastAsia="宋体" w:cs="宋体"/>
          <w:color w:val="auto"/>
          <w:szCs w:val="21"/>
        </w:rPr>
        <w:t xml:space="preserve">    国内没有相应标准、规范时的约定：</w:t>
      </w:r>
      <w:r>
        <w:rPr>
          <w:rFonts w:hint="eastAsia" w:ascii="宋体" w:hAnsi="宋体" w:eastAsia="宋体" w:cs="宋体"/>
          <w:color w:val="auto"/>
          <w:szCs w:val="21"/>
          <w:u w:val="single"/>
        </w:rPr>
        <w:t xml:space="preserve">            /              </w:t>
      </w:r>
    </w:p>
    <w:p w14:paraId="282EC57A">
      <w:pPr>
        <w:spacing w:line="360" w:lineRule="auto"/>
        <w:ind w:firstLine="210" w:firstLineChars="100"/>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3、图纸</w:t>
      </w:r>
    </w:p>
    <w:p w14:paraId="0091D590">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3.1甲方向乙方提供图纸日期和套数:</w:t>
      </w:r>
      <w:r>
        <w:rPr>
          <w:rFonts w:hint="eastAsia" w:ascii="宋体" w:hAnsi="宋体" w:eastAsia="宋体" w:cs="宋体"/>
          <w:color w:val="auto"/>
          <w:szCs w:val="21"/>
          <w:u w:val="single"/>
        </w:rPr>
        <w:t xml:space="preserve"> 提供施工图纸贰套。</w:t>
      </w:r>
    </w:p>
    <w:p w14:paraId="674F9221">
      <w:pPr>
        <w:spacing w:line="360" w:lineRule="auto"/>
        <w:rPr>
          <w:rFonts w:ascii="宋体" w:hAnsi="宋体" w:eastAsia="宋体" w:cs="宋体"/>
          <w:color w:val="auto"/>
          <w:szCs w:val="21"/>
        </w:rPr>
      </w:pPr>
      <w:r>
        <w:rPr>
          <w:rFonts w:hint="eastAsia" w:ascii="宋体" w:hAnsi="宋体" w:eastAsia="宋体" w:cs="宋体"/>
          <w:color w:val="auto"/>
          <w:szCs w:val="21"/>
        </w:rPr>
        <w:t xml:space="preserve">    甲方对图纸的保密要求:</w:t>
      </w:r>
      <w:r>
        <w:rPr>
          <w:rFonts w:hint="eastAsia" w:ascii="宋体" w:hAnsi="宋体" w:eastAsia="宋体" w:cs="宋体"/>
          <w:color w:val="auto"/>
          <w:szCs w:val="21"/>
          <w:u w:val="single"/>
        </w:rPr>
        <w:t xml:space="preserve">  不得用于其它工程  </w:t>
      </w:r>
    </w:p>
    <w:p w14:paraId="45D6FB05">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使用国外纸的要求及费用的承担:</w:t>
      </w:r>
      <w:r>
        <w:rPr>
          <w:rFonts w:hint="eastAsia" w:ascii="宋体" w:hAnsi="宋体" w:eastAsia="宋体" w:cs="宋体"/>
          <w:color w:val="auto"/>
          <w:szCs w:val="21"/>
          <w:u w:val="single"/>
        </w:rPr>
        <w:t xml:space="preserve">               /            </w:t>
      </w:r>
    </w:p>
    <w:p w14:paraId="4410353F">
      <w:pPr>
        <w:spacing w:line="360" w:lineRule="auto"/>
        <w:ind w:firstLine="555"/>
        <w:rPr>
          <w:rFonts w:ascii="宋体" w:hAnsi="宋体" w:eastAsia="宋体" w:cs="宋体"/>
          <w:b/>
          <w:bCs/>
          <w:color w:val="auto"/>
          <w:szCs w:val="21"/>
        </w:rPr>
      </w:pPr>
      <w:r>
        <w:rPr>
          <w:rFonts w:hint="eastAsia" w:ascii="宋体" w:hAnsi="宋体" w:eastAsia="宋体" w:cs="宋体"/>
          <w:b/>
          <w:bCs/>
          <w:color w:val="auto"/>
          <w:szCs w:val="21"/>
        </w:rPr>
        <w:t>二、 双方一般权利和义务</w:t>
      </w:r>
    </w:p>
    <w:p w14:paraId="3C7E4D84">
      <w:pPr>
        <w:spacing w:line="360" w:lineRule="auto"/>
        <w:ind w:firstLine="211" w:firstLineChars="100"/>
        <w:rPr>
          <w:rFonts w:ascii="宋体" w:hAnsi="宋体" w:eastAsia="宋体" w:cs="宋体"/>
          <w:b/>
          <w:bCs/>
          <w:color w:val="auto"/>
          <w:szCs w:val="21"/>
        </w:rPr>
      </w:pPr>
      <w:r>
        <w:rPr>
          <w:rFonts w:hint="eastAsia" w:ascii="宋体" w:hAnsi="宋体" w:eastAsia="宋体" w:cs="宋体"/>
          <w:b/>
          <w:bCs/>
          <w:color w:val="auto"/>
          <w:szCs w:val="21"/>
        </w:rPr>
        <w:t>4、工程师</w:t>
      </w:r>
    </w:p>
    <w:p w14:paraId="6ED8109A">
      <w:pPr>
        <w:spacing w:line="360" w:lineRule="auto"/>
        <w:rPr>
          <w:rFonts w:ascii="宋体" w:hAnsi="宋体" w:eastAsia="宋体" w:cs="宋体"/>
          <w:color w:val="auto"/>
          <w:szCs w:val="21"/>
        </w:rPr>
      </w:pPr>
      <w:r>
        <w:rPr>
          <w:rFonts w:hint="eastAsia" w:ascii="宋体" w:hAnsi="宋体" w:eastAsia="宋体" w:cs="宋体"/>
          <w:color w:val="auto"/>
          <w:szCs w:val="21"/>
        </w:rPr>
        <w:t xml:space="preserve">   4．1监理单位委派的工程师</w:t>
      </w:r>
    </w:p>
    <w:p w14:paraId="224026C3">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姓名：</w:t>
      </w:r>
      <w:r>
        <w:rPr>
          <w:rFonts w:hint="eastAsia" w:ascii="宋体" w:hAnsi="宋体" w:eastAsia="宋体" w:cs="宋体"/>
          <w:b/>
          <w:bCs/>
          <w:color w:val="auto"/>
          <w:szCs w:val="21"/>
          <w:u w:val="single"/>
        </w:rPr>
        <w:t xml:space="preserve"> </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     </w:t>
      </w:r>
      <w:r>
        <w:rPr>
          <w:rFonts w:hint="eastAsia" w:ascii="宋体" w:hAnsi="宋体" w:eastAsia="宋体" w:cs="宋体"/>
          <w:color w:val="auto"/>
          <w:szCs w:val="21"/>
        </w:rPr>
        <w:t xml:space="preserve">      职务：</w:t>
      </w:r>
      <w:r>
        <w:rPr>
          <w:rFonts w:hint="eastAsia" w:ascii="宋体" w:hAnsi="宋体" w:eastAsia="宋体" w:cs="宋体"/>
          <w:b/>
          <w:bCs/>
          <w:color w:val="auto"/>
          <w:szCs w:val="21"/>
          <w:u w:val="single"/>
        </w:rPr>
        <w:t>总监理工程师</w:t>
      </w:r>
    </w:p>
    <w:p w14:paraId="736C9A32">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甲方委托的职权：</w:t>
      </w:r>
      <w:r>
        <w:rPr>
          <w:rFonts w:hint="eastAsia" w:ascii="宋体" w:hAnsi="宋体" w:eastAsia="宋体" w:cs="宋体"/>
          <w:b/>
          <w:bCs/>
          <w:color w:val="auto"/>
          <w:szCs w:val="21"/>
          <w:u w:val="single"/>
        </w:rPr>
        <w:t>依照法律、行政法规及有关的技术标准、设计文件和承包合同对工程的质量、进度、造价、安全、文明施工等进行监督管理，协调甲方与乙方之间的工作关系。</w:t>
      </w:r>
    </w:p>
    <w:p w14:paraId="1367D233">
      <w:pPr>
        <w:spacing w:line="360" w:lineRule="auto"/>
        <w:ind w:firstLine="480"/>
        <w:rPr>
          <w:rFonts w:ascii="宋体" w:hAnsi="宋体" w:eastAsia="宋体" w:cs="宋体"/>
          <w:color w:val="auto"/>
          <w:szCs w:val="21"/>
          <w:u w:val="single"/>
        </w:rPr>
      </w:pPr>
      <w:r>
        <w:rPr>
          <w:rFonts w:hint="eastAsia" w:ascii="宋体" w:hAnsi="宋体" w:eastAsia="宋体" w:cs="宋体"/>
          <w:color w:val="auto"/>
          <w:szCs w:val="21"/>
        </w:rPr>
        <w:t>需要取得甲方批准才能行使的职权:</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1、图纸变更  2、延长工期  3、工程款支付                 </w:t>
      </w:r>
      <w:r>
        <w:rPr>
          <w:rFonts w:hint="eastAsia" w:ascii="宋体" w:hAnsi="宋体" w:eastAsia="宋体" w:cs="宋体"/>
          <w:color w:val="auto"/>
          <w:szCs w:val="21"/>
          <w:u w:val="single"/>
        </w:rPr>
        <w:t xml:space="preserve">                                               </w:t>
      </w:r>
    </w:p>
    <w:p w14:paraId="085D9DD5">
      <w:pPr>
        <w:spacing w:line="360" w:lineRule="auto"/>
        <w:rPr>
          <w:rFonts w:ascii="宋体" w:hAnsi="宋体" w:eastAsia="宋体" w:cs="宋体"/>
          <w:color w:val="auto"/>
          <w:szCs w:val="21"/>
        </w:rPr>
      </w:pPr>
      <w:r>
        <w:rPr>
          <w:rFonts w:hint="eastAsia" w:ascii="宋体" w:hAnsi="宋体" w:eastAsia="宋体" w:cs="宋体"/>
          <w:color w:val="auto"/>
          <w:szCs w:val="21"/>
        </w:rPr>
        <w:t xml:space="preserve">    4．2甲方派驻的工程师</w:t>
      </w:r>
    </w:p>
    <w:p w14:paraId="35336C08">
      <w:pPr>
        <w:spacing w:line="360" w:lineRule="auto"/>
        <w:rPr>
          <w:rFonts w:ascii="宋体" w:hAnsi="宋体" w:eastAsia="宋体" w:cs="宋体"/>
          <w:color w:val="auto"/>
          <w:szCs w:val="21"/>
        </w:rPr>
      </w:pPr>
      <w:r>
        <w:rPr>
          <w:rFonts w:hint="eastAsia" w:ascii="宋体" w:hAnsi="宋体" w:eastAsia="宋体" w:cs="宋体"/>
          <w:color w:val="auto"/>
          <w:szCs w:val="21"/>
        </w:rPr>
        <w:t xml:space="preserve">    姓名：</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      </w:t>
      </w:r>
      <w:r>
        <w:rPr>
          <w:rFonts w:hint="eastAsia" w:ascii="宋体" w:hAnsi="宋体" w:eastAsia="宋体" w:cs="宋体"/>
          <w:color w:val="auto"/>
          <w:szCs w:val="21"/>
        </w:rPr>
        <w:t xml:space="preserve">     职务：</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现场负责人</w:t>
      </w:r>
      <w:r>
        <w:rPr>
          <w:rFonts w:hint="eastAsia" w:ascii="宋体" w:hAnsi="宋体" w:eastAsia="宋体" w:cs="宋体"/>
          <w:color w:val="auto"/>
          <w:szCs w:val="21"/>
          <w:u w:val="single"/>
        </w:rPr>
        <w:t xml:space="preserve">                    </w:t>
      </w:r>
    </w:p>
    <w:p w14:paraId="18D179DE">
      <w:pPr>
        <w:spacing w:line="360" w:lineRule="auto"/>
        <w:rPr>
          <w:rFonts w:ascii="宋体" w:hAnsi="宋体" w:eastAsia="宋体" w:cs="宋体"/>
          <w:color w:val="auto"/>
          <w:szCs w:val="21"/>
        </w:rPr>
      </w:pPr>
      <w:r>
        <w:rPr>
          <w:rFonts w:hint="eastAsia" w:ascii="宋体" w:hAnsi="宋体" w:eastAsia="宋体" w:cs="宋体"/>
          <w:color w:val="auto"/>
          <w:szCs w:val="21"/>
        </w:rPr>
        <w:t xml:space="preserve">    职权：</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Cs w:val="21"/>
          <w:u w:val="single"/>
        </w:rPr>
        <w:t xml:space="preserve">                                                </w:t>
      </w:r>
    </w:p>
    <w:p w14:paraId="5A9C03E3">
      <w:pPr>
        <w:spacing w:line="360" w:lineRule="auto"/>
        <w:rPr>
          <w:rFonts w:ascii="宋体" w:hAnsi="宋体" w:eastAsia="宋体" w:cs="宋体"/>
          <w:color w:val="auto"/>
          <w:szCs w:val="21"/>
        </w:rPr>
      </w:pPr>
      <w:r>
        <w:rPr>
          <w:rFonts w:hint="eastAsia" w:ascii="宋体" w:hAnsi="宋体" w:eastAsia="宋体" w:cs="宋体"/>
          <w:color w:val="auto"/>
          <w:szCs w:val="21"/>
        </w:rPr>
        <w:t xml:space="preserve">    4.3不实行监理的 、工程师的职权: </w:t>
      </w:r>
      <w:r>
        <w:rPr>
          <w:rFonts w:hint="eastAsia" w:ascii="宋体" w:hAnsi="宋体" w:eastAsia="宋体" w:cs="宋体"/>
          <w:color w:val="auto"/>
          <w:szCs w:val="21"/>
          <w:u w:val="single"/>
        </w:rPr>
        <w:t xml:space="preserve">                  /                       </w:t>
      </w:r>
    </w:p>
    <w:p w14:paraId="130D8218">
      <w:pPr>
        <w:spacing w:line="360" w:lineRule="auto"/>
        <w:rPr>
          <w:rFonts w:ascii="宋体" w:hAnsi="宋体" w:eastAsia="宋体" w:cs="宋体"/>
          <w:color w:val="auto"/>
          <w:szCs w:val="21"/>
        </w:rPr>
      </w:pPr>
      <w:r>
        <w:rPr>
          <w:rFonts w:hint="eastAsia" w:ascii="宋体" w:hAnsi="宋体" w:eastAsia="宋体" w:cs="宋体"/>
          <w:color w:val="auto"/>
          <w:szCs w:val="21"/>
        </w:rPr>
        <w:t xml:space="preserve">    5、项目经理</w:t>
      </w:r>
    </w:p>
    <w:p w14:paraId="17BEF517">
      <w:pPr>
        <w:spacing w:line="360" w:lineRule="auto"/>
        <w:ind w:firstLine="480"/>
        <w:rPr>
          <w:rFonts w:ascii="宋体" w:hAnsi="宋体" w:eastAsia="宋体" w:cs="宋体"/>
          <w:b/>
          <w:bCs/>
          <w:color w:val="auto"/>
          <w:szCs w:val="21"/>
          <w:u w:val="single"/>
        </w:rPr>
      </w:pPr>
      <w:r>
        <w:rPr>
          <w:rFonts w:hint="eastAsia" w:ascii="宋体" w:hAnsi="宋体" w:eastAsia="宋体" w:cs="宋体"/>
          <w:color w:val="auto"/>
          <w:szCs w:val="21"/>
        </w:rPr>
        <w:t>姓名：</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rPr>
        <w:t xml:space="preserve">    </w:t>
      </w:r>
      <w:r>
        <w:rPr>
          <w:rFonts w:hint="eastAsia" w:ascii="宋体" w:hAnsi="宋体" w:eastAsia="宋体" w:cs="宋体"/>
          <w:color w:val="auto"/>
          <w:szCs w:val="21"/>
        </w:rPr>
        <w:t>职务:</w:t>
      </w:r>
      <w:r>
        <w:rPr>
          <w:rFonts w:hint="eastAsia" w:ascii="宋体" w:hAnsi="宋体" w:eastAsia="宋体" w:cs="宋体"/>
          <w:b/>
          <w:bCs/>
          <w:color w:val="auto"/>
          <w:szCs w:val="21"/>
          <w:u w:val="single"/>
        </w:rPr>
        <w:t>项目经理</w:t>
      </w:r>
      <w:r>
        <w:rPr>
          <w:rFonts w:hint="eastAsia" w:ascii="宋体" w:hAnsi="宋体" w:eastAsia="宋体" w:cs="宋体"/>
          <w:color w:val="auto"/>
          <w:szCs w:val="21"/>
          <w:u w:val="single"/>
        </w:rPr>
        <w:t xml:space="preserve">                          </w:t>
      </w:r>
    </w:p>
    <w:p w14:paraId="09433EDC">
      <w:pPr>
        <w:spacing w:line="360" w:lineRule="auto"/>
        <w:rPr>
          <w:rFonts w:ascii="宋体" w:hAnsi="宋体" w:eastAsia="宋体" w:cs="宋体"/>
          <w:color w:val="auto"/>
          <w:szCs w:val="21"/>
        </w:rPr>
      </w:pPr>
      <w:r>
        <w:rPr>
          <w:rFonts w:hint="eastAsia" w:ascii="宋体" w:hAnsi="宋体" w:eastAsia="宋体" w:cs="宋体"/>
          <w:color w:val="auto"/>
          <w:szCs w:val="21"/>
        </w:rPr>
        <w:t xml:space="preserve">   6、甲方工作</w:t>
      </w:r>
    </w:p>
    <w:p w14:paraId="687B881D">
      <w:pPr>
        <w:spacing w:line="360" w:lineRule="auto"/>
        <w:rPr>
          <w:rFonts w:ascii="宋体" w:hAnsi="宋体" w:eastAsia="宋体" w:cs="宋体"/>
          <w:color w:val="auto"/>
          <w:szCs w:val="21"/>
        </w:rPr>
      </w:pPr>
      <w:r>
        <w:rPr>
          <w:rFonts w:hint="eastAsia" w:ascii="宋体" w:hAnsi="宋体" w:eastAsia="宋体" w:cs="宋体"/>
          <w:color w:val="auto"/>
          <w:szCs w:val="21"/>
        </w:rPr>
        <w:t xml:space="preserve">   6．l甲方应按约定的时间和要求完成以下工作：</w:t>
      </w:r>
    </w:p>
    <w:p w14:paraId="6A3A5417">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(1)施工场地具备施工条件的要求及完成的时间；</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已具备开工条件                                                          </w:t>
      </w:r>
    </w:p>
    <w:p w14:paraId="559265F6">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(2)将施工所需的水、电、通讯线路接至施工场地的时间、地点和供应要求：</w:t>
      </w:r>
      <w:r>
        <w:rPr>
          <w:rFonts w:hint="eastAsia" w:ascii="宋体" w:hAnsi="宋体" w:eastAsia="宋体" w:cs="宋体"/>
          <w:b/>
          <w:bCs/>
          <w:color w:val="auto"/>
          <w:szCs w:val="21"/>
          <w:u w:val="single"/>
        </w:rPr>
        <w:t>已全部到位</w:t>
      </w:r>
    </w:p>
    <w:p w14:paraId="14EC305E">
      <w:pPr>
        <w:spacing w:line="360" w:lineRule="auto"/>
        <w:rPr>
          <w:rFonts w:ascii="宋体" w:hAnsi="宋体" w:eastAsia="宋体" w:cs="宋体"/>
          <w:color w:val="auto"/>
          <w:szCs w:val="21"/>
        </w:rPr>
      </w:pPr>
      <w:r>
        <w:rPr>
          <w:rFonts w:hint="eastAsia" w:ascii="宋体" w:hAnsi="宋体" w:eastAsia="宋体" w:cs="宋体"/>
          <w:color w:val="auto"/>
          <w:szCs w:val="21"/>
        </w:rPr>
        <w:t xml:space="preserve">    (3)施工场地与公共道路的通道开通时间和要求：</w:t>
      </w:r>
      <w:r>
        <w:rPr>
          <w:rFonts w:hint="eastAsia" w:ascii="宋体" w:hAnsi="宋体" w:eastAsia="宋体" w:cs="宋体"/>
          <w:b/>
          <w:bCs/>
          <w:color w:val="auto"/>
          <w:szCs w:val="21"/>
          <w:u w:val="single"/>
        </w:rPr>
        <w:t xml:space="preserve">  已全部完成  </w:t>
      </w:r>
    </w:p>
    <w:p w14:paraId="6ACB7E81">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(4)工程地质和地下管线资料的提供时间：</w:t>
      </w:r>
      <w:r>
        <w:rPr>
          <w:rFonts w:hint="eastAsia" w:ascii="宋体" w:hAnsi="宋体" w:eastAsia="宋体" w:cs="宋体"/>
          <w:b/>
          <w:bCs/>
          <w:color w:val="auto"/>
          <w:szCs w:val="21"/>
          <w:u w:val="single"/>
        </w:rPr>
        <w:t xml:space="preserve"> /。 </w:t>
      </w:r>
    </w:p>
    <w:p w14:paraId="5B55D70B">
      <w:pPr>
        <w:spacing w:line="360" w:lineRule="auto"/>
        <w:rPr>
          <w:rFonts w:ascii="宋体" w:hAnsi="宋体" w:eastAsia="宋体" w:cs="宋体"/>
          <w:color w:val="auto"/>
          <w:szCs w:val="21"/>
        </w:rPr>
      </w:pPr>
      <w:r>
        <w:rPr>
          <w:rFonts w:hint="eastAsia" w:ascii="宋体" w:hAnsi="宋体" w:eastAsia="宋体" w:cs="宋体"/>
          <w:color w:val="auto"/>
          <w:szCs w:val="21"/>
        </w:rPr>
        <w:t xml:space="preserve">    (5)由甲方办理的施工所需证件、批件的名称和完成时间：</w:t>
      </w:r>
      <w:r>
        <w:rPr>
          <w:rFonts w:hint="eastAsia" w:ascii="宋体" w:hAnsi="宋体" w:eastAsia="宋体" w:cs="宋体"/>
          <w:b/>
          <w:bCs/>
          <w:color w:val="auto"/>
          <w:szCs w:val="21"/>
          <w:u w:val="single"/>
        </w:rPr>
        <w:t>相关资料办理完毕，提供给乙方。</w:t>
      </w:r>
    </w:p>
    <w:p w14:paraId="1CAE45C7">
      <w:pPr>
        <w:spacing w:line="360" w:lineRule="auto"/>
        <w:ind w:left="630" w:hanging="630" w:hangingChars="300"/>
        <w:rPr>
          <w:rFonts w:ascii="宋体" w:hAnsi="宋体" w:eastAsia="宋体" w:cs="宋体"/>
          <w:color w:val="auto"/>
          <w:szCs w:val="21"/>
          <w:u w:val="single"/>
        </w:rPr>
      </w:pPr>
      <w:r>
        <w:rPr>
          <w:rFonts w:hint="eastAsia" w:ascii="宋体" w:hAnsi="宋体" w:eastAsia="宋体" w:cs="宋体"/>
          <w:color w:val="auto"/>
          <w:szCs w:val="21"/>
        </w:rPr>
        <w:t xml:space="preserve">    (6)水准点与座标控制点交验要求：</w:t>
      </w:r>
      <w:r>
        <w:rPr>
          <w:rFonts w:hint="eastAsia" w:ascii="宋体" w:hAnsi="宋体" w:eastAsia="宋体" w:cs="宋体"/>
          <w:b/>
          <w:bCs/>
          <w:color w:val="auto"/>
          <w:szCs w:val="21"/>
          <w:u w:val="single"/>
        </w:rPr>
        <w:t>由甲方派驻现场负责人向乙方提供正确的书面交底材料。</w:t>
      </w:r>
    </w:p>
    <w:p w14:paraId="7DC89118">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（7）图纸会审和设计交底时间：</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w:t>
      </w:r>
    </w:p>
    <w:p w14:paraId="712F2BF6">
      <w:pPr>
        <w:spacing w:line="360" w:lineRule="auto"/>
        <w:ind w:left="630" w:hanging="630" w:hangingChars="300"/>
        <w:rPr>
          <w:rFonts w:ascii="宋体" w:hAnsi="宋体" w:eastAsia="宋体" w:cs="宋体"/>
          <w:color w:val="auto"/>
          <w:szCs w:val="21"/>
          <w:u w:val="single"/>
        </w:rPr>
      </w:pPr>
      <w:r>
        <w:rPr>
          <w:rFonts w:hint="eastAsia" w:ascii="宋体" w:hAnsi="宋体" w:eastAsia="宋体" w:cs="宋体"/>
          <w:color w:val="auto"/>
          <w:szCs w:val="21"/>
        </w:rPr>
        <w:t xml:space="preserve">    (8)协调处理施工场地周围地下管线和邻近建筑物、构筑物（含文物保护建筑）、古树名木的保护工作：</w:t>
      </w:r>
      <w:r>
        <w:rPr>
          <w:rFonts w:hint="eastAsia" w:ascii="宋体" w:hAnsi="宋体" w:eastAsia="宋体" w:cs="宋体"/>
          <w:color w:val="auto"/>
          <w:szCs w:val="21"/>
          <w:u w:val="single"/>
        </w:rPr>
        <w:t xml:space="preserve">                              /                          </w:t>
      </w:r>
    </w:p>
    <w:p w14:paraId="74A864E2">
      <w:pPr>
        <w:spacing w:line="360" w:lineRule="auto"/>
        <w:rPr>
          <w:rFonts w:ascii="宋体" w:hAnsi="宋体" w:eastAsia="宋体" w:cs="宋体"/>
          <w:color w:val="auto"/>
          <w:szCs w:val="21"/>
        </w:rPr>
      </w:pPr>
      <w:r>
        <w:rPr>
          <w:rFonts w:hint="eastAsia" w:ascii="宋体" w:hAnsi="宋体" w:eastAsia="宋体" w:cs="宋体"/>
          <w:color w:val="auto"/>
          <w:szCs w:val="21"/>
        </w:rPr>
        <w:t xml:space="preserve">    (9)双方约定甲方应做的其他工作: </w:t>
      </w:r>
      <w:r>
        <w:rPr>
          <w:rFonts w:hint="eastAsia" w:ascii="宋体" w:hAnsi="宋体" w:eastAsia="宋体" w:cs="宋体"/>
          <w:color w:val="auto"/>
          <w:szCs w:val="21"/>
          <w:u w:val="single"/>
        </w:rPr>
        <w:t xml:space="preserve">         /                                  </w:t>
      </w:r>
    </w:p>
    <w:p w14:paraId="2BE45190">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6.2甲方委托乙方办理的工作：</w:t>
      </w:r>
      <w:r>
        <w:rPr>
          <w:rFonts w:hint="eastAsia" w:ascii="宋体" w:hAnsi="宋体" w:eastAsia="宋体" w:cs="宋体"/>
          <w:color w:val="auto"/>
          <w:szCs w:val="21"/>
          <w:u w:val="single"/>
        </w:rPr>
        <w:t xml:space="preserve">                           /                       </w:t>
      </w:r>
    </w:p>
    <w:p w14:paraId="70B05FB8">
      <w:pPr>
        <w:spacing w:line="360" w:lineRule="auto"/>
        <w:rPr>
          <w:rFonts w:ascii="宋体" w:hAnsi="宋体" w:eastAsia="宋体" w:cs="宋体"/>
          <w:color w:val="auto"/>
          <w:szCs w:val="21"/>
        </w:rPr>
      </w:pPr>
      <w:r>
        <w:rPr>
          <w:rFonts w:hint="eastAsia" w:ascii="宋体" w:hAnsi="宋体" w:eastAsia="宋体" w:cs="宋体"/>
          <w:color w:val="auto"/>
          <w:szCs w:val="21"/>
        </w:rPr>
        <w:t xml:space="preserve">    7、乙方工作</w:t>
      </w:r>
    </w:p>
    <w:p w14:paraId="74B103B1">
      <w:pPr>
        <w:spacing w:line="360" w:lineRule="auto"/>
        <w:rPr>
          <w:rFonts w:ascii="宋体" w:hAnsi="宋体" w:eastAsia="宋体" w:cs="宋体"/>
          <w:color w:val="auto"/>
          <w:szCs w:val="21"/>
        </w:rPr>
      </w:pPr>
      <w:r>
        <w:rPr>
          <w:rFonts w:hint="eastAsia" w:ascii="宋体" w:hAnsi="宋体" w:eastAsia="宋体" w:cs="宋体"/>
          <w:color w:val="auto"/>
          <w:szCs w:val="21"/>
        </w:rPr>
        <w:t xml:space="preserve">    7.1乙方应按约定时间和要求，完成以下工作：</w:t>
      </w:r>
    </w:p>
    <w:p w14:paraId="749D492F">
      <w:pPr>
        <w:spacing w:line="360" w:lineRule="auto"/>
        <w:rPr>
          <w:rFonts w:ascii="宋体" w:hAnsi="宋体" w:eastAsia="宋体" w:cs="宋体"/>
          <w:color w:val="auto"/>
          <w:szCs w:val="21"/>
        </w:rPr>
      </w:pPr>
      <w:r>
        <w:rPr>
          <w:rFonts w:hint="eastAsia" w:ascii="宋体" w:hAnsi="宋体" w:eastAsia="宋体" w:cs="宋体"/>
          <w:color w:val="auto"/>
          <w:szCs w:val="21"/>
        </w:rPr>
        <w:t xml:space="preserve">    (1)需由设计资质等级和业务范围允许的乙方完成的设计文件提交时间：</w:t>
      </w:r>
    </w:p>
    <w:p w14:paraId="0DC9969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(2)应提供计划、报表的名称及完成时间：</w:t>
      </w:r>
    </w:p>
    <w:p w14:paraId="30CAB9B6">
      <w:pPr>
        <w:spacing w:line="360" w:lineRule="auto"/>
        <w:rPr>
          <w:rFonts w:ascii="宋体" w:hAnsi="宋体" w:eastAsia="宋体" w:cs="宋体"/>
          <w:color w:val="auto"/>
          <w:szCs w:val="21"/>
          <w:u w:val="single"/>
        </w:rPr>
      </w:pP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开工前五天提交施工进度计划、施工组织设计。                                                          </w:t>
      </w:r>
    </w:p>
    <w:p w14:paraId="13C99C60">
      <w:pPr>
        <w:spacing w:line="360" w:lineRule="auto"/>
        <w:rPr>
          <w:rFonts w:ascii="宋体" w:hAnsi="宋体" w:eastAsia="宋体" w:cs="宋体"/>
          <w:color w:val="auto"/>
          <w:szCs w:val="21"/>
        </w:rPr>
      </w:pPr>
      <w:r>
        <w:rPr>
          <w:rFonts w:hint="eastAsia" w:ascii="宋体" w:hAnsi="宋体" w:eastAsia="宋体" w:cs="宋体"/>
          <w:color w:val="auto"/>
          <w:szCs w:val="21"/>
        </w:rPr>
        <w:t xml:space="preserve">    (3)承担施工安全保卫工作及非夜间施工照明的责任和要求：</w:t>
      </w:r>
    </w:p>
    <w:p w14:paraId="5858E528">
      <w:pPr>
        <w:spacing w:line="360" w:lineRule="auto"/>
        <w:rPr>
          <w:rFonts w:ascii="宋体" w:hAnsi="宋体" w:eastAsia="宋体" w:cs="宋体"/>
          <w:b/>
          <w:bCs/>
          <w:color w:val="auto"/>
          <w:szCs w:val="21"/>
          <w:u w:val="single"/>
        </w:rPr>
      </w:pP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按有关安全操作规程实施，并承担相应费用。                                                           </w:t>
      </w:r>
    </w:p>
    <w:p w14:paraId="2BA0CD7B">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(4)向甲方提供的办公和生活房屋及设施的要求：</w:t>
      </w:r>
      <w:r>
        <w:rPr>
          <w:rFonts w:hint="eastAsia" w:ascii="宋体" w:hAnsi="宋体" w:eastAsia="宋体" w:cs="宋体"/>
          <w:b/>
          <w:bCs/>
          <w:color w:val="auto"/>
          <w:szCs w:val="21"/>
          <w:u w:val="single"/>
        </w:rPr>
        <w:t xml:space="preserve">            /                       </w:t>
      </w:r>
    </w:p>
    <w:p w14:paraId="73ADCCE3">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(5)需乙方办理的有关施工场地交通、环卫和施工噪音管理等手续:</w:t>
      </w:r>
      <w:r>
        <w:rPr>
          <w:rFonts w:hint="eastAsia" w:ascii="宋体" w:hAnsi="宋体" w:eastAsia="宋体" w:cs="宋体"/>
          <w:color w:val="auto"/>
          <w:szCs w:val="21"/>
          <w:u w:val="single"/>
        </w:rPr>
        <w:t xml:space="preserve"> 按金坛区住建局、环保局有关文件规定执行， 服从交通、城管部门的管理， 由采购人自行办理相关手续，费用由责任方负担。                                                    </w:t>
      </w:r>
    </w:p>
    <w:p w14:paraId="1348AD16">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(6)已完工程成品保护的特殊要求及费用承担：</w:t>
      </w:r>
      <w:r>
        <w:rPr>
          <w:rFonts w:hint="eastAsia" w:ascii="宋体" w:hAnsi="宋体" w:eastAsia="宋体" w:cs="宋体"/>
          <w:b/>
          <w:bCs/>
          <w:color w:val="auto"/>
          <w:szCs w:val="21"/>
          <w:u w:val="single"/>
        </w:rPr>
        <w:t xml:space="preserve">竣工交付前的成品保护工作由乙方负责。                                                       </w:t>
      </w:r>
      <w:r>
        <w:rPr>
          <w:rFonts w:hint="eastAsia" w:ascii="宋体" w:hAnsi="宋体" w:eastAsia="宋体" w:cs="宋体"/>
          <w:color w:val="auto"/>
          <w:szCs w:val="21"/>
          <w:u w:val="single"/>
        </w:rPr>
        <w:t xml:space="preserve"> </w:t>
      </w:r>
    </w:p>
    <w:p w14:paraId="422FAFE0">
      <w:pPr>
        <w:spacing w:line="360" w:lineRule="auto"/>
        <w:ind w:left="840" w:hanging="840" w:hangingChars="400"/>
        <w:rPr>
          <w:rFonts w:ascii="宋体" w:hAnsi="宋体" w:eastAsia="宋体" w:cs="宋体"/>
          <w:color w:val="auto"/>
          <w:szCs w:val="21"/>
        </w:rPr>
      </w:pPr>
      <w:r>
        <w:rPr>
          <w:rFonts w:hint="eastAsia" w:ascii="宋体" w:hAnsi="宋体" w:eastAsia="宋体" w:cs="宋体"/>
          <w:color w:val="auto"/>
          <w:szCs w:val="21"/>
        </w:rPr>
        <w:t xml:space="preserve">    (7)施工场地周围地下管线和邻近建筑物、构筑物(含文物保护建筑）、古树名木的保护</w:t>
      </w:r>
    </w:p>
    <w:p w14:paraId="3ADD5981">
      <w:pPr>
        <w:spacing w:line="360" w:lineRule="auto"/>
        <w:ind w:left="840" w:hanging="840" w:hangingChars="400"/>
        <w:rPr>
          <w:rFonts w:ascii="宋体" w:hAnsi="宋体" w:eastAsia="宋体" w:cs="宋体"/>
          <w:color w:val="auto"/>
          <w:szCs w:val="21"/>
          <w:u w:val="single"/>
        </w:rPr>
      </w:pPr>
      <w:r>
        <w:rPr>
          <w:rFonts w:hint="eastAsia" w:ascii="宋体" w:hAnsi="宋体" w:eastAsia="宋体" w:cs="宋体"/>
          <w:color w:val="auto"/>
          <w:szCs w:val="21"/>
        </w:rPr>
        <w:t>要求及费用承担：</w:t>
      </w:r>
      <w:r>
        <w:rPr>
          <w:rFonts w:hint="eastAsia" w:ascii="宋体" w:hAnsi="宋体" w:eastAsia="宋体" w:cs="宋体"/>
          <w:b/>
          <w:bCs/>
          <w:color w:val="auto"/>
          <w:szCs w:val="21"/>
          <w:u w:val="single"/>
        </w:rPr>
        <w:t xml:space="preserve">履行保护责任，如施工中被破坏其费用由乙方承担。                                                       </w:t>
      </w:r>
      <w:r>
        <w:rPr>
          <w:rFonts w:hint="eastAsia" w:ascii="宋体" w:hAnsi="宋体" w:eastAsia="宋体" w:cs="宋体"/>
          <w:color w:val="auto"/>
          <w:szCs w:val="21"/>
          <w:u w:val="single"/>
        </w:rPr>
        <w:t xml:space="preserve"> </w:t>
      </w:r>
    </w:p>
    <w:p w14:paraId="618FB7FF">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(8)施工场地清洁卫生的要求：</w:t>
      </w:r>
      <w:r>
        <w:rPr>
          <w:rFonts w:hint="eastAsia" w:ascii="宋体" w:hAnsi="宋体" w:eastAsia="宋体" w:cs="宋体"/>
          <w:b/>
          <w:bCs/>
          <w:color w:val="auto"/>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14:paraId="06651017">
      <w:pPr>
        <w:numPr>
          <w:ilvl w:val="0"/>
          <w:numId w:val="3"/>
        </w:numPr>
        <w:spacing w:line="360" w:lineRule="auto"/>
        <w:ind w:left="315" w:firstLine="0"/>
        <w:rPr>
          <w:rFonts w:ascii="宋体" w:hAnsi="宋体" w:eastAsia="宋体" w:cs="宋体"/>
          <w:b/>
          <w:bCs/>
          <w:color w:val="auto"/>
          <w:szCs w:val="21"/>
          <w:u w:val="single"/>
        </w:rPr>
      </w:pPr>
      <w:r>
        <w:rPr>
          <w:rFonts w:hint="eastAsia" w:ascii="宋体" w:hAnsi="宋体" w:eastAsia="宋体" w:cs="宋体"/>
          <w:color w:val="auto"/>
          <w:szCs w:val="21"/>
        </w:rPr>
        <w:t xml:space="preserve">双方约定乙方应做的其他工作： </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                                    </w:t>
      </w:r>
    </w:p>
    <w:p w14:paraId="1E6AB893">
      <w:pPr>
        <w:spacing w:line="360" w:lineRule="auto"/>
        <w:ind w:left="315"/>
        <w:rPr>
          <w:rFonts w:ascii="宋体" w:hAnsi="宋体" w:eastAsia="宋体" w:cs="宋体"/>
          <w:b/>
          <w:bCs/>
          <w:color w:val="auto"/>
          <w:szCs w:val="21"/>
        </w:rPr>
      </w:pPr>
      <w:r>
        <w:rPr>
          <w:rFonts w:hint="eastAsia" w:ascii="宋体" w:hAnsi="宋体" w:eastAsia="宋体" w:cs="宋体"/>
          <w:b/>
          <w:bCs/>
          <w:color w:val="auto"/>
          <w:szCs w:val="21"/>
        </w:rPr>
        <w:t>三、施工组织设计和工期</w:t>
      </w:r>
    </w:p>
    <w:p w14:paraId="4C818A94">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8、进度计划</w:t>
      </w:r>
    </w:p>
    <w:p w14:paraId="185311CF">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8．1乙方提供施工组织设计（施工方案）和进度计划的时间：</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合同签定后5天内提供详细的切实可行的施工方案及进度计划。                                                          </w:t>
      </w:r>
    </w:p>
    <w:p w14:paraId="7886F348">
      <w:pPr>
        <w:spacing w:line="360" w:lineRule="auto"/>
        <w:ind w:left="420" w:hanging="420" w:hangingChars="200"/>
        <w:rPr>
          <w:rFonts w:ascii="宋体" w:hAnsi="宋体" w:eastAsia="宋体" w:cs="宋体"/>
          <w:b/>
          <w:bCs/>
          <w:color w:val="auto"/>
          <w:szCs w:val="21"/>
          <w:u w:val="single"/>
        </w:rPr>
      </w:pPr>
      <w:r>
        <w:rPr>
          <w:rFonts w:hint="eastAsia" w:ascii="宋体" w:hAnsi="宋体" w:eastAsia="宋体" w:cs="宋体"/>
          <w:color w:val="auto"/>
          <w:szCs w:val="21"/>
        </w:rPr>
        <w:t xml:space="preserve">    工程师确认的时间：</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收到乙方施工方案和施工进度计划报告后七天内。            </w:t>
      </w:r>
    </w:p>
    <w:p w14:paraId="2ACDD5A6">
      <w:pPr>
        <w:spacing w:line="360" w:lineRule="auto"/>
        <w:ind w:left="420" w:hanging="420" w:hangingChars="200"/>
        <w:rPr>
          <w:rFonts w:ascii="宋体" w:hAnsi="宋体" w:eastAsia="宋体" w:cs="宋体"/>
          <w:color w:val="auto"/>
          <w:szCs w:val="21"/>
          <w:u w:val="single"/>
        </w:rPr>
      </w:pPr>
      <w:r>
        <w:rPr>
          <w:rFonts w:hint="eastAsia" w:ascii="宋体" w:hAnsi="宋体" w:eastAsia="宋体" w:cs="宋体"/>
          <w:color w:val="auto"/>
          <w:szCs w:val="21"/>
        </w:rPr>
        <w:t xml:space="preserve">    8．2群体工程中有关进度计划的要求：</w:t>
      </w:r>
      <w:r>
        <w:rPr>
          <w:rFonts w:hint="eastAsia" w:ascii="宋体" w:hAnsi="宋体" w:eastAsia="宋体" w:cs="宋体"/>
          <w:color w:val="auto"/>
          <w:szCs w:val="21"/>
          <w:u w:val="single"/>
        </w:rPr>
        <w:t xml:space="preserve">            /                            </w:t>
      </w:r>
    </w:p>
    <w:p w14:paraId="341D982E">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9、工期延误</w:t>
      </w:r>
    </w:p>
    <w:p w14:paraId="71011905">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9．1双方约定工期顺延的其他情况：</w:t>
      </w:r>
      <w:r>
        <w:rPr>
          <w:rFonts w:hint="eastAsia" w:ascii="宋体" w:hAnsi="宋体" w:eastAsia="宋体" w:cs="宋体"/>
          <w:b/>
          <w:bCs/>
          <w:color w:val="auto"/>
          <w:szCs w:val="21"/>
        </w:rPr>
        <w:t xml:space="preserve"> </w:t>
      </w:r>
      <w:r>
        <w:rPr>
          <w:rFonts w:hint="eastAsia" w:ascii="宋体" w:hAnsi="宋体" w:eastAsia="宋体" w:cs="宋体"/>
          <w:b/>
          <w:bCs/>
          <w:color w:val="auto"/>
          <w:szCs w:val="21"/>
          <w:u w:val="single"/>
        </w:rPr>
        <w:t xml:space="preserve">1、影响工期顺延的工程量变更 2、发生不可抗力事件。                           </w:t>
      </w:r>
    </w:p>
    <w:p w14:paraId="1BFBDD09">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四、质量与验收</w:t>
      </w:r>
    </w:p>
    <w:p w14:paraId="24DDD68C">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 xml:space="preserve"> 10、隐蔽工程和中间验收</w:t>
      </w:r>
    </w:p>
    <w:p w14:paraId="243B472A">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10.1双方约定中间验收部位：</w:t>
      </w:r>
      <w:r>
        <w:rPr>
          <w:rFonts w:hint="eastAsia" w:ascii="宋体" w:hAnsi="宋体" w:eastAsia="宋体" w:cs="宋体"/>
          <w:b/>
          <w:bCs/>
          <w:color w:val="auto"/>
          <w:szCs w:val="21"/>
          <w:u w:val="single"/>
        </w:rPr>
        <w:t xml:space="preserve">隐蔽工程。                                  </w:t>
      </w:r>
      <w:r>
        <w:rPr>
          <w:rFonts w:hint="eastAsia" w:ascii="宋体" w:hAnsi="宋体" w:eastAsia="宋体" w:cs="宋体"/>
          <w:color w:val="auto"/>
          <w:szCs w:val="21"/>
          <w:u w:val="single"/>
        </w:rPr>
        <w:t xml:space="preserve">        </w:t>
      </w:r>
    </w:p>
    <w:p w14:paraId="29DDFAB6">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11、工程试车</w:t>
      </w:r>
    </w:p>
    <w:p w14:paraId="4D197E6D">
      <w:pPr>
        <w:spacing w:line="360" w:lineRule="auto"/>
        <w:ind w:firstLine="480"/>
        <w:rPr>
          <w:rFonts w:ascii="宋体" w:hAnsi="宋体" w:eastAsia="宋体" w:cs="宋体"/>
          <w:color w:val="auto"/>
          <w:szCs w:val="21"/>
        </w:rPr>
      </w:pPr>
      <w:r>
        <w:rPr>
          <w:rFonts w:hint="eastAsia" w:ascii="宋体" w:hAnsi="宋体" w:eastAsia="宋体" w:cs="宋体"/>
          <w:color w:val="auto"/>
          <w:szCs w:val="21"/>
        </w:rPr>
        <w:t>11．1试车费用的承担：</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按通用条款执行。 </w:t>
      </w:r>
      <w:r>
        <w:rPr>
          <w:rFonts w:hint="eastAsia" w:ascii="宋体" w:hAnsi="宋体" w:eastAsia="宋体" w:cs="宋体"/>
          <w:color w:val="auto"/>
          <w:szCs w:val="21"/>
          <w:u w:val="single"/>
        </w:rPr>
        <w:t xml:space="preserve">                                  </w:t>
      </w:r>
    </w:p>
    <w:p w14:paraId="0EC2AC3F">
      <w:pPr>
        <w:numPr>
          <w:ilvl w:val="0"/>
          <w:numId w:val="4"/>
        </w:numPr>
        <w:spacing w:line="360" w:lineRule="auto"/>
        <w:ind w:left="420" w:firstLine="0"/>
        <w:rPr>
          <w:rFonts w:ascii="宋体" w:hAnsi="宋体" w:eastAsia="宋体" w:cs="宋体"/>
          <w:b/>
          <w:bCs/>
          <w:color w:val="auto"/>
          <w:szCs w:val="21"/>
          <w:u w:val="single"/>
        </w:rPr>
      </w:pPr>
      <w:r>
        <w:rPr>
          <w:rFonts w:hint="eastAsia" w:ascii="宋体" w:hAnsi="宋体" w:eastAsia="宋体" w:cs="宋体"/>
          <w:b/>
          <w:bCs/>
          <w:color w:val="auto"/>
          <w:szCs w:val="21"/>
        </w:rPr>
        <w:t>安全施工：</w:t>
      </w:r>
      <w:r>
        <w:rPr>
          <w:rFonts w:hint="eastAsia" w:ascii="宋体" w:hAnsi="宋体" w:eastAsia="宋体" w:cs="宋体"/>
          <w:b/>
          <w:bCs/>
          <w:color w:val="auto"/>
          <w:szCs w:val="21"/>
          <w:u w:val="single"/>
        </w:rPr>
        <w:t>按有关建筑安装工程施工操作规程执行，施工现场的安全生产施工由</w:t>
      </w:r>
    </w:p>
    <w:p w14:paraId="225291A4">
      <w:pPr>
        <w:spacing w:line="360" w:lineRule="auto"/>
        <w:rPr>
          <w:rFonts w:ascii="宋体" w:hAnsi="宋体" w:eastAsia="宋体" w:cs="宋体"/>
          <w:b/>
          <w:bCs/>
          <w:color w:val="auto"/>
          <w:szCs w:val="21"/>
          <w:u w:val="single"/>
        </w:rPr>
      </w:pPr>
      <w:r>
        <w:rPr>
          <w:rFonts w:hint="eastAsia" w:ascii="宋体" w:hAnsi="宋体" w:eastAsia="宋体" w:cs="宋体"/>
          <w:b/>
          <w:bCs/>
          <w:color w:val="auto"/>
          <w:szCs w:val="21"/>
          <w:u w:val="single"/>
        </w:rPr>
        <w:t xml:space="preserve">乙方负责。                                                              </w:t>
      </w:r>
    </w:p>
    <w:p w14:paraId="6C4CC19A">
      <w:pPr>
        <w:spacing w:line="360" w:lineRule="auto"/>
        <w:ind w:firstLine="480"/>
        <w:rPr>
          <w:rFonts w:ascii="宋体" w:hAnsi="宋体" w:eastAsia="宋体" w:cs="宋体"/>
          <w:b/>
          <w:bCs/>
          <w:color w:val="auto"/>
          <w:szCs w:val="21"/>
        </w:rPr>
      </w:pPr>
      <w:r>
        <w:rPr>
          <w:rFonts w:hint="eastAsia" w:ascii="宋体" w:hAnsi="宋体" w:eastAsia="宋体" w:cs="宋体"/>
          <w:b/>
          <w:bCs/>
          <w:color w:val="auto"/>
          <w:szCs w:val="21"/>
        </w:rPr>
        <w:t>六、合同价款与支付</w:t>
      </w:r>
    </w:p>
    <w:p w14:paraId="1690CBC7">
      <w:pPr>
        <w:spacing w:line="360" w:lineRule="auto"/>
        <w:ind w:firstLine="420" w:firstLineChars="200"/>
        <w:rPr>
          <w:rFonts w:ascii="宋体" w:hAnsi="宋体" w:eastAsia="宋体" w:cs="宋体"/>
          <w:color w:val="auto"/>
          <w:szCs w:val="21"/>
        </w:rPr>
      </w:pPr>
      <w:bookmarkStart w:id="21" w:name="_Toc24828"/>
      <w:bookmarkStart w:id="22" w:name="_Toc22664"/>
      <w:r>
        <w:rPr>
          <w:rFonts w:hint="eastAsia" w:ascii="宋体" w:hAnsi="宋体" w:eastAsia="宋体" w:cs="宋体"/>
          <w:color w:val="auto"/>
          <w:szCs w:val="21"/>
        </w:rPr>
        <w:t>12. 合同价格、计量与支付</w:t>
      </w:r>
      <w:bookmarkEnd w:id="21"/>
      <w:bookmarkEnd w:id="22"/>
    </w:p>
    <w:p w14:paraId="61C1AE6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12.1 合同价格形式：</w:t>
      </w:r>
    </w:p>
    <w:p w14:paraId="0EDA3A6E">
      <w:pPr>
        <w:spacing w:line="360" w:lineRule="auto"/>
        <w:ind w:firstLine="420" w:firstLineChars="200"/>
        <w:rPr>
          <w:rFonts w:ascii="宋体" w:hAnsi="宋体" w:eastAsia="宋体" w:cs="宋体"/>
          <w:color w:val="auto"/>
          <w:szCs w:val="21"/>
        </w:rPr>
      </w:pPr>
      <w:bookmarkStart w:id="23" w:name="_Toc292559411"/>
      <w:bookmarkStart w:id="24" w:name="_Toc267251461"/>
      <w:bookmarkStart w:id="25" w:name="_Toc292559916"/>
      <w:bookmarkStart w:id="26" w:name="_Toc296891246"/>
      <w:bookmarkStart w:id="27" w:name="_Toc296346707"/>
      <w:bookmarkStart w:id="28" w:name="_Toc296503206"/>
      <w:bookmarkStart w:id="29" w:name="_Toc297120506"/>
      <w:bookmarkStart w:id="30" w:name="_Toc297048392"/>
      <w:bookmarkStart w:id="31" w:name="_Toc296944545"/>
      <w:bookmarkStart w:id="32" w:name="_Toc296891034"/>
      <w:bookmarkStart w:id="33" w:name="_Toc296347205"/>
      <w:bookmarkStart w:id="34" w:name="_Toc304295580"/>
      <w:bookmarkStart w:id="35" w:name="_Toc297123553"/>
      <w:bookmarkStart w:id="36" w:name="_Toc303539160"/>
      <w:bookmarkStart w:id="37" w:name="_Toc312678041"/>
      <w:bookmarkStart w:id="38" w:name="_Toc300935003"/>
      <w:bookmarkStart w:id="39" w:name="_Toc297216212"/>
      <w:r>
        <w:rPr>
          <w:rFonts w:hint="eastAsia" w:ascii="宋体" w:hAnsi="宋体" w:eastAsia="宋体" w:cs="宋体"/>
          <w:color w:val="auto"/>
          <w:szCs w:val="21"/>
        </w:rPr>
        <w:t>12.1 合</w:t>
      </w:r>
      <w:bookmarkEnd w:id="23"/>
      <w:bookmarkEnd w:id="24"/>
      <w:bookmarkEnd w:id="25"/>
      <w:r>
        <w:rPr>
          <w:rFonts w:hint="eastAsia" w:ascii="宋体" w:hAnsi="宋体" w:eastAsia="宋体" w:cs="宋体"/>
          <w:color w:val="auto"/>
          <w:szCs w:val="21"/>
        </w:rPr>
        <w:t>同价</w:t>
      </w:r>
      <w:bookmarkEnd w:id="26"/>
      <w:bookmarkEnd w:id="27"/>
      <w:bookmarkEnd w:id="28"/>
      <w:bookmarkEnd w:id="29"/>
      <w:bookmarkEnd w:id="30"/>
      <w:bookmarkEnd w:id="31"/>
      <w:bookmarkEnd w:id="32"/>
      <w:bookmarkEnd w:id="33"/>
      <w:r>
        <w:rPr>
          <w:rFonts w:hint="eastAsia" w:ascii="宋体" w:hAnsi="宋体" w:eastAsia="宋体" w:cs="宋体"/>
          <w:color w:val="auto"/>
          <w:szCs w:val="21"/>
        </w:rPr>
        <w:t>格形式</w:t>
      </w:r>
    </w:p>
    <w:bookmarkEnd w:id="34"/>
    <w:bookmarkEnd w:id="35"/>
    <w:bookmarkEnd w:id="36"/>
    <w:bookmarkEnd w:id="37"/>
    <w:bookmarkEnd w:id="38"/>
    <w:bookmarkEnd w:id="39"/>
    <w:p w14:paraId="640971C4">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1、综合单价合同。</w:t>
      </w:r>
    </w:p>
    <w:p w14:paraId="2A69D2E1">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综合单价包含的风险范围：</w:t>
      </w:r>
    </w:p>
    <w:p w14:paraId="46F94A7A">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1.投标人的投标施工方案、现场施工条件</w:t>
      </w:r>
    </w:p>
    <w:p w14:paraId="293C0F43">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2.工程量变化产生的前期费用</w:t>
      </w:r>
    </w:p>
    <w:p w14:paraId="3A919FC5">
      <w:pPr>
        <w:spacing w:line="360" w:lineRule="auto"/>
        <w:ind w:firstLine="420" w:firstLineChars="200"/>
        <w:rPr>
          <w:rFonts w:ascii="宋体" w:hAnsi="宋体" w:eastAsia="宋体" w:cs="宋体"/>
          <w:color w:val="auto"/>
          <w:szCs w:val="21"/>
        </w:rPr>
      </w:pPr>
      <w:r>
        <w:rPr>
          <w:rFonts w:hint="eastAsia" w:ascii="宋体" w:hAnsi="宋体" w:eastAsia="宋体" w:cs="宋体"/>
          <w:bCs/>
          <w:color w:val="auto"/>
          <w:szCs w:val="21"/>
        </w:rPr>
        <w:t>3.工程材料（设备）市场价格的波动</w:t>
      </w:r>
      <w:r>
        <w:rPr>
          <w:rFonts w:hint="eastAsia" w:ascii="宋体" w:hAnsi="宋体" w:eastAsia="宋体" w:cs="宋体"/>
          <w:color w:val="auto"/>
          <w:szCs w:val="21"/>
        </w:rPr>
        <w:t>。</w:t>
      </w:r>
    </w:p>
    <w:p w14:paraId="05D3BEE8">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4、政策性调整（税率调整除外）</w:t>
      </w:r>
    </w:p>
    <w:p w14:paraId="4A0B389F">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风险费用的计算方法：</w:t>
      </w:r>
      <w:r>
        <w:rPr>
          <w:rFonts w:hint="eastAsia" w:ascii="宋体" w:hAnsi="宋体" w:eastAsia="宋体" w:cs="宋体"/>
          <w:bCs/>
          <w:color w:val="auto"/>
          <w:szCs w:val="21"/>
        </w:rPr>
        <w:t>综合考虑在投标综合单价内，在合同约定风险范围内不作调整</w:t>
      </w:r>
      <w:r>
        <w:rPr>
          <w:rFonts w:hint="eastAsia" w:ascii="宋体" w:hAnsi="宋体" w:eastAsia="宋体" w:cs="宋体"/>
          <w:color w:val="auto"/>
          <w:szCs w:val="21"/>
        </w:rPr>
        <w:t>。</w:t>
      </w:r>
    </w:p>
    <w:p w14:paraId="767474E0">
      <w:pPr>
        <w:spacing w:line="360" w:lineRule="auto"/>
        <w:ind w:firstLine="420" w:firstLineChars="200"/>
        <w:rPr>
          <w:rFonts w:ascii="宋体" w:hAnsi="宋体" w:eastAsia="宋体" w:cs="宋体"/>
          <w:bCs/>
          <w:color w:val="auto"/>
          <w:szCs w:val="21"/>
        </w:rPr>
      </w:pPr>
      <w:r>
        <w:rPr>
          <w:rFonts w:hint="eastAsia" w:ascii="宋体" w:hAnsi="宋体" w:eastAsia="宋体" w:cs="宋体"/>
          <w:color w:val="auto"/>
          <w:szCs w:val="21"/>
        </w:rPr>
        <w:t>风险范围以外合同价格的调整方法：</w:t>
      </w:r>
      <w:r>
        <w:rPr>
          <w:rFonts w:hint="eastAsia" w:ascii="宋体" w:hAnsi="宋体" w:eastAsia="宋体" w:cs="宋体"/>
          <w:bCs/>
          <w:color w:val="auto"/>
          <w:szCs w:val="21"/>
        </w:rPr>
        <w:t>风险范围以外的内容：</w:t>
      </w:r>
    </w:p>
    <w:p w14:paraId="5A8A260C">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风险范围以外的内容：</w:t>
      </w:r>
    </w:p>
    <w:p w14:paraId="2878145F">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1.设计变更引起的工程量增减；</w:t>
      </w:r>
    </w:p>
    <w:p w14:paraId="65CC9B7B">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2.发包人要求的承包范围以外的附加工程量；</w:t>
      </w:r>
      <w:r>
        <w:rPr>
          <w:rFonts w:hint="eastAsia" w:ascii="宋体" w:hAnsi="宋体" w:eastAsia="宋体" w:cs="宋体"/>
          <w:bCs/>
          <w:color w:val="auto"/>
          <w:szCs w:val="21"/>
        </w:rPr>
        <w:tab/>
      </w:r>
    </w:p>
    <w:p w14:paraId="0231C95D">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3.暂估价材料、暂估价项目；</w:t>
      </w:r>
    </w:p>
    <w:p w14:paraId="6C28AEA4">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4.发包人确认的其它项目；</w:t>
      </w:r>
    </w:p>
    <w:p w14:paraId="627D52E8">
      <w:pPr>
        <w:spacing w:line="360" w:lineRule="auto"/>
        <w:ind w:firstLine="420" w:firstLineChars="200"/>
        <w:rPr>
          <w:rFonts w:ascii="宋体" w:hAnsi="宋体" w:eastAsia="宋体" w:cs="宋体"/>
          <w:bCs/>
          <w:color w:val="auto"/>
          <w:szCs w:val="21"/>
        </w:rPr>
      </w:pPr>
      <w:r>
        <w:rPr>
          <w:rFonts w:hint="eastAsia" w:ascii="宋体" w:hAnsi="宋体" w:eastAsia="宋体" w:cs="宋体"/>
          <w:bCs/>
          <w:color w:val="auto"/>
          <w:szCs w:val="21"/>
        </w:rPr>
        <w:t>5.发包人提出对乙供部分材料进行更改，引起的价差。</w:t>
      </w:r>
    </w:p>
    <w:p w14:paraId="0C19AF57">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1.2.2调整方法：</w:t>
      </w:r>
    </w:p>
    <w:p w14:paraId="68A9FC78">
      <w:pPr>
        <w:numPr>
          <w:ilvl w:val="0"/>
          <w:numId w:val="5"/>
        </w:num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工程量应由乙方按在履行合同义务过程中实际完成的工程量计算后向甲方提出，经审计后按审定数量结算；</w:t>
      </w:r>
    </w:p>
    <w:p w14:paraId="1F695BD5">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2）结算原则为：</w:t>
      </w:r>
    </w:p>
    <w:p w14:paraId="12EDEB5C">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a．</w:t>
      </w:r>
      <w:r>
        <w:rPr>
          <w:rFonts w:hint="eastAsia" w:ascii="宋体" w:hAnsi="宋体" w:eastAsia="宋体" w:cs="宋体"/>
          <w:bCs/>
          <w:color w:val="auto"/>
          <w:szCs w:val="21"/>
        </w:rPr>
        <w:t>投标书中已有适用于变更工程的综合单价，按投标书中已有的综合单价结算</w:t>
      </w:r>
      <w:r>
        <w:rPr>
          <w:rFonts w:hint="eastAsia" w:ascii="宋体" w:hAnsi="宋体" w:eastAsia="宋体" w:cs="宋体"/>
          <w:color w:val="auto"/>
          <w:szCs w:val="21"/>
        </w:rPr>
        <w:t>；</w:t>
      </w:r>
    </w:p>
    <w:p w14:paraId="2202DB00">
      <w:pPr>
        <w:widowControl w:val="0"/>
        <w:spacing w:line="400" w:lineRule="exact"/>
        <w:ind w:firstLine="420" w:firstLineChars="200"/>
        <w:jc w:val="both"/>
        <w:rPr>
          <w:rFonts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b．</w:t>
      </w:r>
      <w:r>
        <w:rPr>
          <w:rFonts w:hint="eastAsia" w:ascii="宋体" w:hAnsi="宋体" w:eastAsia="宋体" w:cs="宋体"/>
          <w:bCs/>
          <w:color w:val="auto"/>
          <w:kern w:val="2"/>
          <w:sz w:val="21"/>
          <w:szCs w:val="21"/>
          <w:lang w:val="en-US" w:eastAsia="zh-CN" w:bidi="ar-SA"/>
        </w:rPr>
        <w:t>投标书中有类似于变更工程的综合单价，按投标书中已有的类似的综合单价作相应调整后结算</w:t>
      </w:r>
      <w:r>
        <w:rPr>
          <w:rFonts w:hint="eastAsia" w:ascii="宋体" w:hAnsi="宋体" w:eastAsia="宋体" w:cs="宋体"/>
          <w:color w:val="auto"/>
          <w:kern w:val="2"/>
          <w:sz w:val="21"/>
          <w:szCs w:val="21"/>
          <w:lang w:val="en-US" w:eastAsia="zh-CN" w:bidi="ar-SA"/>
        </w:rPr>
        <w:t>；</w:t>
      </w:r>
    </w:p>
    <w:p w14:paraId="5136E24D">
      <w:pPr>
        <w:widowControl w:val="0"/>
        <w:spacing w:line="400" w:lineRule="exact"/>
        <w:ind w:firstLine="420" w:firstLineChars="200"/>
        <w:jc w:val="both"/>
        <w:rPr>
          <w:rFonts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c．招标控制价中无类似综合单价，结算原则为：</w:t>
      </w:r>
    </w:p>
    <w:p w14:paraId="011E425B">
      <w:pPr>
        <w:widowControl w:val="0"/>
        <w:spacing w:line="400" w:lineRule="exact"/>
        <w:ind w:firstLine="420" w:firstLineChars="200"/>
        <w:jc w:val="both"/>
        <w:rPr>
          <w:rFonts w:ascii="宋体" w:hAnsi="宋体" w:eastAsia="宋体" w:cs="宋体"/>
          <w:color w:val="auto"/>
          <w:kern w:val="2"/>
          <w:sz w:val="21"/>
          <w:szCs w:val="21"/>
          <w:highlight w:val="yellow"/>
          <w:lang w:val="en-US" w:eastAsia="zh-CN" w:bidi="ar-SA"/>
        </w:rPr>
      </w:pPr>
      <w:r>
        <w:rPr>
          <w:rFonts w:hint="eastAsia" w:ascii="宋体" w:hAnsi="宋体" w:eastAsia="宋体" w:cs="宋体"/>
          <w:color w:val="auto"/>
          <w:kern w:val="2"/>
          <w:sz w:val="21"/>
          <w:szCs w:val="21"/>
          <w:highlight w:val="none"/>
          <w:lang w:val="en-US" w:eastAsia="zh-CN" w:bidi="ar-SA"/>
        </w:rPr>
        <w:t>（1）有计价定额可套用的项目：依据《建设工程工程量清单计价规范》（GB50500-2013）、《江苏省建筑与装饰工程计价定额》、《江苏省安装工程计价定额》、《江苏省市政工程计价定额》、《《江苏省房屋修缮工程计价表》（2009年）》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kern w:val="2"/>
          <w:sz w:val="21"/>
          <w:szCs w:val="21"/>
          <w:highlight w:val="none"/>
          <w:lang w:val="en-US" w:eastAsia="zh-CN" w:bidi="ar-SA"/>
        </w:rPr>
        <w:t>根据上述要求编制综合单价报采购人确认</w:t>
      </w:r>
      <w:r>
        <w:rPr>
          <w:rFonts w:hint="eastAsia" w:ascii="宋体" w:hAnsi="宋体" w:eastAsia="宋体" w:cs="宋体"/>
          <w:color w:val="auto"/>
          <w:kern w:val="2"/>
          <w:sz w:val="21"/>
          <w:szCs w:val="21"/>
          <w:highlight w:val="none"/>
          <w:lang w:val="en-US" w:eastAsia="zh-CN" w:bidi="ar-SA"/>
        </w:rPr>
        <w:t>。</w:t>
      </w:r>
    </w:p>
    <w:p w14:paraId="009A6F7E">
      <w:pPr>
        <w:widowControl w:val="0"/>
        <w:spacing w:line="360" w:lineRule="auto"/>
        <w:ind w:firstLine="422" w:firstLineChars="200"/>
        <w:jc w:val="both"/>
        <w:rPr>
          <w:rFonts w:ascii="宋体" w:hAnsi="宋体" w:eastAsia="宋体" w:cs="宋体"/>
          <w:b/>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（2）无计价定额可套用的项目：由学校（至少两人：总务主任或总务副主任、分管副校长或校长）、监理、及乙方共同询价、协商，报校长审批确定，确定后的价格不让利。</w:t>
      </w:r>
    </w:p>
    <w:p w14:paraId="1CAEE33B">
      <w:pPr>
        <w:widowControl w:val="0"/>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3）其它工程价款调整方法：</w:t>
      </w:r>
    </w:p>
    <w:p w14:paraId="254FA992">
      <w:pPr>
        <w:widowControl w:val="0"/>
        <w:spacing w:line="360" w:lineRule="auto"/>
        <w:ind w:firstLine="420" w:firstLineChars="200"/>
        <w:jc w:val="both"/>
        <w:rPr>
          <w:rFonts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（1）采用工程量清单方式计价，竣工结算的工程量经签证确认的且实际完成的工程量确定，完成甲方要求的合同以外的零星工作或发生非乙方责任事件的工程量按现场签证确认。</w:t>
      </w:r>
    </w:p>
    <w:p w14:paraId="434226B1">
      <w:pPr>
        <w:widowControl w:val="0"/>
        <w:spacing w:line="360" w:lineRule="auto"/>
        <w:ind w:firstLine="420" w:firstLineChars="200"/>
        <w:jc w:val="both"/>
        <w:rPr>
          <w:rFonts w:ascii="宋体" w:hAnsi="宋体" w:eastAsia="宋体" w:cs="宋体"/>
          <w:b/>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（2）工程</w:t>
      </w:r>
      <w:r>
        <w:rPr>
          <w:rFonts w:hint="eastAsia" w:ascii="宋体" w:hAnsi="宋体" w:eastAsia="宋体" w:cs="宋体"/>
          <w:bCs/>
          <w:color w:val="auto"/>
          <w:kern w:val="2"/>
          <w:sz w:val="21"/>
          <w:szCs w:val="21"/>
          <w:lang w:val="en-US" w:eastAsia="zh-CN" w:bidi="ar-SA"/>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14:paraId="66326352">
      <w:pPr>
        <w:widowControl w:val="0"/>
        <w:spacing w:line="360" w:lineRule="auto"/>
        <w:ind w:firstLine="422" w:firstLineChars="200"/>
        <w:jc w:val="both"/>
        <w:rPr>
          <w:rFonts w:ascii="宋体" w:hAnsi="宋体" w:eastAsia="宋体" w:cs="宋体"/>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kern w:val="2"/>
          <w:sz w:val="21"/>
          <w:szCs w:val="21"/>
          <w:lang w:val="en-US" w:eastAsia="zh-CN" w:bidi="ar-SA"/>
        </w:rPr>
        <w:t>签证单上必须明确签证的原因、位置、尺寸、数量、材料、人工、机械台班和签证时间，如有必要，还需附有相应的综合单价分析。</w:t>
      </w:r>
    </w:p>
    <w:p w14:paraId="5ECFE8C8">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1.2.3工程施工过程中所有需要在合同价外另行增加的内容，乙方必须无条件服从甲方安排，不得以任何理由拖延施工；所涉及费用根据上述相关条款在竣工结算时由审计确认。</w:t>
      </w:r>
    </w:p>
    <w:p w14:paraId="71F41BAC">
      <w:pPr>
        <w:widowControl w:val="0"/>
        <w:spacing w:line="360" w:lineRule="auto"/>
        <w:ind w:firstLine="422" w:firstLineChars="200"/>
        <w:jc w:val="both"/>
        <w:rPr>
          <w:rFonts w:ascii="宋体" w:hAnsi="宋体" w:eastAsia="宋体" w:cs="宋体"/>
          <w:b/>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14:paraId="5AED0672">
      <w:pPr>
        <w:widowControl w:val="0"/>
        <w:spacing w:line="360" w:lineRule="auto"/>
        <w:ind w:firstLine="420" w:firstLineChars="200"/>
        <w:jc w:val="both"/>
        <w:rPr>
          <w:rFonts w:ascii="宋体" w:hAnsi="宋体" w:eastAsia="宋体" w:cs="宋体"/>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kern w:val="2"/>
          <w:sz w:val="21"/>
          <w:szCs w:val="21"/>
          <w:lang w:val="en-US" w:eastAsia="zh-CN" w:bidi="ar-SA"/>
        </w:rPr>
        <w:t>。</w:t>
      </w:r>
    </w:p>
    <w:p w14:paraId="1FBF9BDA">
      <w:pPr>
        <w:spacing w:line="360" w:lineRule="auto"/>
        <w:ind w:firstLine="480"/>
        <w:rPr>
          <w:rFonts w:ascii="宋体" w:hAnsi="宋体" w:eastAsia="宋体" w:cs="宋体"/>
          <w:b/>
          <w:bCs/>
          <w:color w:val="auto"/>
          <w:szCs w:val="21"/>
        </w:rPr>
      </w:pPr>
      <w:r>
        <w:rPr>
          <w:rFonts w:hint="eastAsia" w:ascii="宋体" w:hAnsi="宋体" w:eastAsia="宋体" w:cs="宋体"/>
          <w:b/>
          <w:bCs/>
          <w:color w:val="auto"/>
          <w:szCs w:val="21"/>
          <w:u w:val="none"/>
        </w:rPr>
        <w:t>13、</w:t>
      </w:r>
      <w:r>
        <w:rPr>
          <w:rFonts w:hint="eastAsia" w:ascii="宋体" w:hAnsi="宋体" w:eastAsia="宋体" w:cs="宋体"/>
          <w:b/>
          <w:bCs/>
          <w:color w:val="auto"/>
          <w:szCs w:val="21"/>
        </w:rPr>
        <w:t>工程预付款</w:t>
      </w:r>
    </w:p>
    <w:p w14:paraId="29167093">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甲方向</w:t>
      </w:r>
      <w:r>
        <w:rPr>
          <w:rFonts w:hint="eastAsia" w:ascii="宋体" w:hAnsi="宋体" w:eastAsia="宋体" w:cs="宋体"/>
          <w:b/>
          <w:bCs/>
          <w:color w:val="auto"/>
          <w:szCs w:val="21"/>
          <w:u w:val="single"/>
        </w:rPr>
        <w:t>乙方</w:t>
      </w:r>
      <w:r>
        <w:rPr>
          <w:rFonts w:hint="eastAsia" w:ascii="宋体" w:hAnsi="宋体" w:eastAsia="宋体" w:cs="宋体"/>
          <w:color w:val="auto"/>
          <w:szCs w:val="21"/>
        </w:rPr>
        <w:t>预付工程款的时间和金额或占合同价款总额的比例：</w:t>
      </w:r>
      <w:r>
        <w:rPr>
          <w:rFonts w:hint="eastAsia" w:ascii="宋体" w:hAnsi="宋体" w:eastAsia="宋体" w:cs="宋体"/>
          <w:color w:val="auto"/>
          <w:szCs w:val="21"/>
          <w:u w:val="single"/>
        </w:rPr>
        <w:t>无</w:t>
      </w:r>
      <w:r>
        <w:rPr>
          <w:rFonts w:hint="eastAsia" w:ascii="宋体" w:hAnsi="宋体" w:eastAsia="宋体" w:cs="宋体"/>
          <w:b/>
          <w:bCs/>
          <w:color w:val="auto"/>
          <w:szCs w:val="21"/>
          <w:u w:val="single"/>
        </w:rPr>
        <w:t xml:space="preserve">。                                                    </w:t>
      </w:r>
    </w:p>
    <w:p w14:paraId="5C6B2A82">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扣回工程款的时间、比例：</w:t>
      </w:r>
    </w:p>
    <w:p w14:paraId="69DCFE3B">
      <w:pPr>
        <w:spacing w:line="360" w:lineRule="auto"/>
        <w:ind w:firstLine="570"/>
        <w:rPr>
          <w:rFonts w:ascii="宋体" w:hAnsi="宋体" w:eastAsia="宋体" w:cs="宋体"/>
          <w:color w:val="auto"/>
          <w:szCs w:val="21"/>
        </w:rPr>
      </w:pPr>
      <w:r>
        <w:rPr>
          <w:rFonts w:hint="eastAsia" w:ascii="宋体" w:hAnsi="宋体" w:eastAsia="宋体" w:cs="宋体"/>
          <w:b/>
          <w:bCs/>
          <w:color w:val="auto"/>
          <w:szCs w:val="21"/>
        </w:rPr>
        <w:t>14、工程量确认：</w:t>
      </w:r>
      <w:r>
        <w:rPr>
          <w:rFonts w:hint="eastAsia" w:ascii="宋体" w:hAnsi="宋体" w:eastAsia="宋体" w:cs="宋体"/>
          <w:b/>
          <w:bCs/>
          <w:color w:val="auto"/>
          <w:szCs w:val="21"/>
          <w:u w:val="single"/>
        </w:rPr>
        <w:t>乙方</w:t>
      </w:r>
      <w:r>
        <w:rPr>
          <w:rFonts w:hint="eastAsia" w:ascii="宋体" w:hAnsi="宋体" w:eastAsia="宋体" w:cs="宋体"/>
          <w:color w:val="auto"/>
          <w:szCs w:val="21"/>
        </w:rPr>
        <w:t>向工程师提交已完工程量报告的时间：</w:t>
      </w:r>
      <w:r>
        <w:rPr>
          <w:rFonts w:hint="eastAsia" w:ascii="宋体" w:hAnsi="宋体" w:eastAsia="宋体" w:cs="宋体"/>
          <w:b/>
          <w:bCs/>
          <w:color w:val="auto"/>
          <w:szCs w:val="21"/>
        </w:rPr>
        <w:t xml:space="preserve">                                                                                                   </w:t>
      </w:r>
    </w:p>
    <w:p w14:paraId="4857C674">
      <w:pPr>
        <w:spacing w:line="360" w:lineRule="auto"/>
        <w:ind w:left="586" w:leftChars="279"/>
        <w:rPr>
          <w:rFonts w:ascii="宋体" w:hAnsi="宋体" w:eastAsia="宋体" w:cs="宋体"/>
          <w:color w:val="auto"/>
          <w:szCs w:val="21"/>
          <w:u w:val="single"/>
        </w:rPr>
      </w:pPr>
      <w:r>
        <w:rPr>
          <w:rFonts w:hint="eastAsia" w:ascii="宋体" w:hAnsi="宋体" w:eastAsia="宋体" w:cs="宋体"/>
          <w:b/>
          <w:bCs/>
          <w:color w:val="auto"/>
          <w:szCs w:val="21"/>
          <w:u w:val="single"/>
        </w:rPr>
        <w:t xml:space="preserve">本工程采用竣工后一次性结算的办法，乙方在工程验收后一个月内提交竣工结算及竣工资料。                                                          </w:t>
      </w:r>
      <w:r>
        <w:rPr>
          <w:rFonts w:hint="eastAsia" w:ascii="宋体" w:hAnsi="宋体" w:eastAsia="宋体" w:cs="宋体"/>
          <w:color w:val="auto"/>
          <w:szCs w:val="21"/>
          <w:u w:val="single"/>
        </w:rPr>
        <w:t xml:space="preserve">                                                              </w:t>
      </w:r>
    </w:p>
    <w:p w14:paraId="6416F736">
      <w:pPr>
        <w:numPr>
          <w:ilvl w:val="0"/>
          <w:numId w:val="6"/>
        </w:numPr>
        <w:spacing w:line="360" w:lineRule="auto"/>
        <w:ind w:firstLine="480"/>
        <w:rPr>
          <w:rFonts w:ascii="宋体" w:hAnsi="宋体" w:eastAsia="宋体" w:cs="宋体"/>
          <w:b/>
          <w:bCs/>
          <w:color w:val="auto"/>
          <w:szCs w:val="21"/>
        </w:rPr>
      </w:pPr>
      <w:r>
        <w:rPr>
          <w:rFonts w:hint="eastAsia" w:ascii="宋体" w:hAnsi="宋体" w:eastAsia="宋体" w:cs="宋体"/>
          <w:b/>
          <w:bCs/>
          <w:color w:val="auto"/>
          <w:szCs w:val="21"/>
        </w:rPr>
        <w:t>工程款（进度款）支付</w:t>
      </w:r>
    </w:p>
    <w:p w14:paraId="0696F745">
      <w:pPr>
        <w:spacing w:line="360" w:lineRule="auto"/>
        <w:ind w:firstLine="420" w:firstLineChars="200"/>
        <w:rPr>
          <w:rFonts w:hint="eastAsia" w:ascii="宋体" w:hAnsi="宋体" w:eastAsia="宋体" w:cs="宋体"/>
          <w:bCs/>
          <w:color w:val="auto"/>
          <w:kern w:val="0"/>
          <w:szCs w:val="21"/>
        </w:rPr>
      </w:pPr>
      <w:r>
        <w:rPr>
          <w:rFonts w:hint="eastAsia" w:ascii="宋体" w:hAnsi="宋体" w:eastAsia="宋体" w:cs="宋体"/>
          <w:b w:val="0"/>
          <w:bCs/>
          <w:color w:val="auto"/>
          <w:kern w:val="0"/>
          <w:szCs w:val="21"/>
          <w:lang w:val="en-US" w:eastAsia="zh-CN"/>
        </w:rPr>
        <w:t>工程竣工验收合格后付至合同价款（扣除暂列金额）的60%，工程竣工验收合格满一年后支付至审定价的97%，质保期期满后付清余款（无息）。</w:t>
      </w:r>
    </w:p>
    <w:p w14:paraId="6473AFDB">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七、材料设备供应</w:t>
      </w:r>
    </w:p>
    <w:p w14:paraId="37753E89">
      <w:pPr>
        <w:spacing w:line="360" w:lineRule="auto"/>
        <w:ind w:firstLine="480"/>
        <w:rPr>
          <w:rFonts w:ascii="宋体" w:hAnsi="宋体" w:eastAsia="宋体" w:cs="宋体"/>
          <w:b/>
          <w:bCs/>
          <w:color w:val="auto"/>
          <w:szCs w:val="21"/>
          <w:u w:val="single"/>
        </w:rPr>
      </w:pPr>
      <w:r>
        <w:rPr>
          <w:rFonts w:hint="eastAsia" w:ascii="宋体" w:hAnsi="宋体" w:eastAsia="宋体" w:cs="宋体"/>
          <w:b/>
          <w:bCs/>
          <w:color w:val="auto"/>
          <w:szCs w:val="21"/>
        </w:rPr>
        <w:t>16．甲方供应材料设备:</w:t>
      </w:r>
      <w:r>
        <w:rPr>
          <w:rFonts w:hint="eastAsia" w:ascii="宋体" w:hAnsi="宋体" w:eastAsia="宋体" w:cs="宋体"/>
          <w:b/>
          <w:bCs/>
          <w:color w:val="auto"/>
          <w:szCs w:val="21"/>
          <w:u w:val="single"/>
        </w:rPr>
        <w:t>无</w:t>
      </w:r>
    </w:p>
    <w:p w14:paraId="1B692709">
      <w:pPr>
        <w:spacing w:line="360" w:lineRule="auto"/>
        <w:ind w:firstLine="480"/>
        <w:rPr>
          <w:rFonts w:ascii="宋体" w:hAnsi="宋体" w:eastAsia="宋体" w:cs="宋体"/>
          <w:color w:val="auto"/>
          <w:szCs w:val="21"/>
        </w:rPr>
      </w:pPr>
      <w:r>
        <w:rPr>
          <w:rFonts w:hint="eastAsia" w:ascii="宋体" w:hAnsi="宋体" w:eastAsia="宋体" w:cs="宋体"/>
          <w:color w:val="auto"/>
          <w:szCs w:val="21"/>
        </w:rPr>
        <w:t>16．1甲方供应的材料设备与一览表不符时，双方约定甲方承担责任如下：</w:t>
      </w:r>
    </w:p>
    <w:p w14:paraId="31222968">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(1)材料设备单价与一览表不符：</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按通用条款有关规定执行。</w:t>
      </w:r>
      <w:r>
        <w:rPr>
          <w:rFonts w:hint="eastAsia" w:ascii="宋体" w:hAnsi="宋体" w:eastAsia="宋体" w:cs="宋体"/>
          <w:color w:val="auto"/>
          <w:szCs w:val="21"/>
          <w:u w:val="single"/>
        </w:rPr>
        <w:t xml:space="preserve">                         </w:t>
      </w:r>
    </w:p>
    <w:p w14:paraId="3E0D0412">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(2)材料设备的品种、规格、型号、质量等级与一览表不符：</w:t>
      </w:r>
      <w:r>
        <w:rPr>
          <w:rFonts w:hint="eastAsia" w:ascii="宋体" w:hAnsi="宋体" w:eastAsia="宋体" w:cs="宋体"/>
          <w:b/>
          <w:bCs/>
          <w:color w:val="auto"/>
          <w:szCs w:val="21"/>
          <w:u w:val="single"/>
        </w:rPr>
        <w:t>按通用条款有关规定执行。</w:t>
      </w:r>
      <w:r>
        <w:rPr>
          <w:rFonts w:hint="eastAsia" w:ascii="宋体" w:hAnsi="宋体" w:eastAsia="宋体" w:cs="宋体"/>
          <w:color w:val="auto"/>
          <w:szCs w:val="21"/>
          <w:u w:val="single"/>
        </w:rPr>
        <w:t xml:space="preserve">                           </w:t>
      </w:r>
    </w:p>
    <w:p w14:paraId="507649E1">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(3)乙方可代为调剂串换的材料：</w:t>
      </w:r>
      <w:r>
        <w:rPr>
          <w:rFonts w:hint="eastAsia" w:ascii="宋体" w:hAnsi="宋体" w:eastAsia="宋体" w:cs="宋体"/>
          <w:b/>
          <w:bCs/>
          <w:color w:val="auto"/>
          <w:szCs w:val="21"/>
          <w:u w:val="single"/>
        </w:rPr>
        <w:t>按通用条款有关规定执行。</w:t>
      </w:r>
      <w:r>
        <w:rPr>
          <w:rFonts w:hint="eastAsia" w:ascii="宋体" w:hAnsi="宋体" w:eastAsia="宋体" w:cs="宋体"/>
          <w:color w:val="auto"/>
          <w:szCs w:val="21"/>
          <w:u w:val="single"/>
        </w:rPr>
        <w:t xml:space="preserve">                            </w:t>
      </w:r>
    </w:p>
    <w:p w14:paraId="06652311">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（4）到货地点与一览表不符：</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按通用条款有关规定执行</w:t>
      </w:r>
      <w:r>
        <w:rPr>
          <w:rFonts w:hint="eastAsia" w:ascii="宋体" w:hAnsi="宋体" w:eastAsia="宋体" w:cs="宋体"/>
          <w:color w:val="auto"/>
          <w:szCs w:val="21"/>
          <w:u w:val="single"/>
        </w:rPr>
        <w:t xml:space="preserve">。                         </w:t>
      </w:r>
    </w:p>
    <w:p w14:paraId="0E942815">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（5）供应数量与一览表不符：</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按通用条款有关规定执行。</w:t>
      </w:r>
      <w:r>
        <w:rPr>
          <w:rFonts w:hint="eastAsia" w:ascii="宋体" w:hAnsi="宋体" w:eastAsia="宋体" w:cs="宋体"/>
          <w:color w:val="auto"/>
          <w:szCs w:val="21"/>
          <w:u w:val="single"/>
        </w:rPr>
        <w:t xml:space="preserve">                            </w:t>
      </w:r>
    </w:p>
    <w:p w14:paraId="16030FF7">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（6）到货时间与一览表不符：</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按通用条款有关规定执行</w:t>
      </w:r>
      <w:r>
        <w:rPr>
          <w:rFonts w:hint="eastAsia" w:ascii="宋体" w:hAnsi="宋体" w:eastAsia="宋体" w:cs="宋体"/>
          <w:color w:val="auto"/>
          <w:szCs w:val="21"/>
          <w:u w:val="single"/>
        </w:rPr>
        <w:t xml:space="preserve">。                             </w:t>
      </w:r>
    </w:p>
    <w:p w14:paraId="4AAD6EE7">
      <w:pPr>
        <w:spacing w:line="360" w:lineRule="auto"/>
        <w:ind w:firstLine="570"/>
        <w:rPr>
          <w:rFonts w:ascii="宋体" w:hAnsi="宋体" w:eastAsia="宋体" w:cs="宋体"/>
          <w:b/>
          <w:bCs/>
          <w:color w:val="auto"/>
          <w:szCs w:val="21"/>
          <w:u w:val="single"/>
        </w:rPr>
      </w:pPr>
      <w:r>
        <w:rPr>
          <w:rFonts w:hint="eastAsia" w:ascii="宋体" w:hAnsi="宋体" w:eastAsia="宋体" w:cs="宋体"/>
          <w:color w:val="auto"/>
          <w:szCs w:val="21"/>
        </w:rPr>
        <w:t>16．2甲方供应材料设备的结算方法：</w:t>
      </w:r>
      <w:r>
        <w:rPr>
          <w:rFonts w:hint="eastAsia" w:ascii="宋体" w:hAnsi="宋体" w:eastAsia="宋体" w:cs="宋体"/>
          <w:b/>
          <w:bCs/>
          <w:color w:val="auto"/>
          <w:szCs w:val="21"/>
          <w:u w:val="single"/>
        </w:rPr>
        <w:t xml:space="preserve">               /                          </w:t>
      </w:r>
    </w:p>
    <w:p w14:paraId="65091BE0">
      <w:pPr>
        <w:spacing w:line="360" w:lineRule="auto"/>
        <w:ind w:firstLine="210" w:firstLineChars="100"/>
        <w:rPr>
          <w:rFonts w:ascii="宋体" w:hAnsi="宋体" w:eastAsia="宋体" w:cs="宋体"/>
          <w:color w:val="auto"/>
          <w:szCs w:val="21"/>
        </w:rPr>
      </w:pPr>
      <w:r>
        <w:rPr>
          <w:rFonts w:hint="eastAsia" w:ascii="宋体" w:hAnsi="宋体" w:eastAsia="宋体" w:cs="宋体"/>
          <w:color w:val="auto"/>
          <w:szCs w:val="21"/>
        </w:rPr>
        <w:t xml:space="preserve">  17、乙方采购材料设备</w:t>
      </w:r>
    </w:p>
    <w:p w14:paraId="420A6246">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17．l乙方采购材料设备的约定：</w:t>
      </w:r>
      <w:r>
        <w:rPr>
          <w:rFonts w:hint="eastAsia" w:ascii="宋体" w:hAnsi="宋体" w:eastAsia="宋体" w:cs="宋体"/>
          <w:b/>
          <w:bCs/>
          <w:color w:val="auto"/>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14:paraId="2273B41B">
      <w:pPr>
        <w:numPr>
          <w:ilvl w:val="0"/>
          <w:numId w:val="7"/>
        </w:numPr>
        <w:spacing w:line="360" w:lineRule="auto"/>
        <w:ind w:left="915" w:hanging="450"/>
        <w:rPr>
          <w:rFonts w:ascii="宋体" w:hAnsi="宋体" w:eastAsia="宋体" w:cs="宋体"/>
          <w:b/>
          <w:bCs/>
          <w:color w:val="auto"/>
          <w:szCs w:val="21"/>
        </w:rPr>
      </w:pPr>
      <w:r>
        <w:rPr>
          <w:rFonts w:hint="eastAsia" w:ascii="宋体" w:hAnsi="宋体" w:eastAsia="宋体" w:cs="宋体"/>
          <w:b/>
          <w:bCs/>
          <w:color w:val="auto"/>
          <w:szCs w:val="21"/>
        </w:rPr>
        <w:t>工程变更</w:t>
      </w:r>
    </w:p>
    <w:p w14:paraId="3BE6CA7F">
      <w:pPr>
        <w:spacing w:line="360" w:lineRule="auto"/>
        <w:ind w:firstLine="422" w:firstLineChars="200"/>
        <w:rPr>
          <w:rFonts w:ascii="宋体" w:hAnsi="宋体" w:eastAsia="宋体" w:cs="宋体"/>
          <w:b/>
          <w:color w:val="auto"/>
          <w:szCs w:val="21"/>
          <w:u w:val="single"/>
        </w:rPr>
      </w:pPr>
      <w:r>
        <w:rPr>
          <w:rFonts w:hint="eastAsia" w:ascii="宋体" w:hAnsi="宋体" w:eastAsia="宋体" w:cs="宋体"/>
          <w:b/>
          <w:color w:val="auto"/>
          <w:szCs w:val="21"/>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14:paraId="390A3C2B">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九、竣工验收与结算</w:t>
      </w:r>
    </w:p>
    <w:p w14:paraId="758CE881">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18．竣工验收</w:t>
      </w:r>
    </w:p>
    <w:p w14:paraId="1E7D15F3">
      <w:pPr>
        <w:spacing w:line="360" w:lineRule="auto"/>
        <w:ind w:left="630" w:hanging="630" w:hangingChars="300"/>
        <w:rPr>
          <w:rFonts w:ascii="宋体" w:hAnsi="宋体" w:eastAsia="宋体" w:cs="宋体"/>
          <w:b/>
          <w:bCs/>
          <w:color w:val="auto"/>
          <w:szCs w:val="21"/>
          <w:u w:val="single"/>
        </w:rPr>
      </w:pPr>
      <w:r>
        <w:rPr>
          <w:rFonts w:hint="eastAsia" w:ascii="宋体" w:hAnsi="宋体" w:eastAsia="宋体" w:cs="宋体"/>
          <w:color w:val="auto"/>
          <w:szCs w:val="21"/>
        </w:rPr>
        <w:t xml:space="preserve">    18.l供应商提供竣工图的约定：</w:t>
      </w:r>
      <w:r>
        <w:rPr>
          <w:rFonts w:hint="eastAsia" w:ascii="宋体" w:hAnsi="宋体" w:eastAsia="宋体" w:cs="宋体"/>
          <w:b/>
          <w:bCs/>
          <w:color w:val="auto"/>
          <w:szCs w:val="21"/>
          <w:u w:val="single"/>
        </w:rPr>
        <w:t>申报该工程竣工验收时，提供竣工图贰份以及所有相</w:t>
      </w:r>
    </w:p>
    <w:p w14:paraId="2BC1F16B">
      <w:pPr>
        <w:spacing w:line="360" w:lineRule="auto"/>
        <w:ind w:left="632" w:hanging="632" w:hangingChars="300"/>
        <w:rPr>
          <w:rFonts w:ascii="宋体" w:hAnsi="宋体" w:eastAsia="宋体" w:cs="宋体"/>
          <w:color w:val="auto"/>
          <w:szCs w:val="21"/>
          <w:u w:val="single"/>
        </w:rPr>
      </w:pPr>
      <w:r>
        <w:rPr>
          <w:rFonts w:hint="eastAsia" w:ascii="宋体" w:hAnsi="宋体" w:eastAsia="宋体" w:cs="宋体"/>
          <w:b/>
          <w:bCs/>
          <w:color w:val="auto"/>
          <w:szCs w:val="21"/>
          <w:u w:val="single"/>
        </w:rPr>
        <w:t xml:space="preserve">关资料。                                                                </w:t>
      </w:r>
    </w:p>
    <w:p w14:paraId="777F9180">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18.2中间交工工程的范围和竣工时间：</w:t>
      </w:r>
      <w:r>
        <w:rPr>
          <w:rFonts w:hint="eastAsia" w:ascii="宋体" w:hAnsi="宋体" w:eastAsia="宋体" w:cs="宋体"/>
          <w:b/>
          <w:bCs/>
          <w:color w:val="auto"/>
          <w:szCs w:val="21"/>
          <w:u w:val="single"/>
        </w:rPr>
        <w:t>满足甲方工程进度要求。</w:t>
      </w:r>
    </w:p>
    <w:p w14:paraId="18BDDD10">
      <w:pPr>
        <w:numPr>
          <w:ilvl w:val="0"/>
          <w:numId w:val="8"/>
        </w:num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竣工结算</w:t>
      </w:r>
    </w:p>
    <w:p w14:paraId="550A3821">
      <w:pPr>
        <w:spacing w:line="360" w:lineRule="auto"/>
        <w:ind w:firstLine="422" w:firstLineChars="200"/>
        <w:rPr>
          <w:rFonts w:ascii="宋体" w:hAnsi="宋体" w:eastAsia="宋体" w:cs="宋体"/>
          <w:b/>
          <w:bCs/>
          <w:color w:val="auto"/>
          <w:szCs w:val="21"/>
          <w:u w:val="single"/>
        </w:rPr>
      </w:pPr>
      <w:r>
        <w:rPr>
          <w:rFonts w:hint="eastAsia" w:ascii="宋体" w:hAnsi="宋体" w:eastAsia="宋体" w:cs="宋体"/>
          <w:b/>
          <w:bCs/>
          <w:color w:val="auto"/>
          <w:szCs w:val="21"/>
          <w:u w:val="single"/>
        </w:rPr>
        <w:t>按本合同专用条款“六、合同价款与支付”中的相关规定计算出的造价按中标让利率进行让利，让利后的造价即为本工程的结算造价。</w:t>
      </w:r>
    </w:p>
    <w:p w14:paraId="03AB45CD">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 xml:space="preserve"> 十、违约、索赔和争议</w:t>
      </w:r>
    </w:p>
    <w:p w14:paraId="1C4F8284">
      <w:pPr>
        <w:spacing w:line="360" w:lineRule="auto"/>
        <w:rPr>
          <w:rFonts w:ascii="宋体" w:hAnsi="宋体" w:eastAsia="宋体" w:cs="宋体"/>
          <w:color w:val="auto"/>
          <w:szCs w:val="21"/>
        </w:rPr>
      </w:pPr>
      <w:r>
        <w:rPr>
          <w:rFonts w:hint="eastAsia" w:ascii="宋体" w:hAnsi="宋体" w:eastAsia="宋体" w:cs="宋体"/>
          <w:color w:val="auto"/>
          <w:szCs w:val="21"/>
        </w:rPr>
        <w:t xml:space="preserve">    20、违约</w:t>
      </w:r>
    </w:p>
    <w:p w14:paraId="59387E9C">
      <w:pPr>
        <w:spacing w:line="360" w:lineRule="auto"/>
        <w:rPr>
          <w:rFonts w:ascii="宋体" w:hAnsi="宋体" w:eastAsia="宋体" w:cs="宋体"/>
          <w:color w:val="auto"/>
          <w:szCs w:val="21"/>
        </w:rPr>
      </w:pPr>
      <w:r>
        <w:rPr>
          <w:rFonts w:hint="eastAsia" w:ascii="宋体" w:hAnsi="宋体" w:eastAsia="宋体" w:cs="宋体"/>
          <w:color w:val="auto"/>
          <w:szCs w:val="21"/>
        </w:rPr>
        <w:t xml:space="preserve">    20.1本合同中关于甲方违约的具体责任如下：</w:t>
      </w:r>
    </w:p>
    <w:p w14:paraId="68879D53">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本合同通用条款第24条约定甲方违约应承担的违约责任：</w:t>
      </w:r>
      <w:r>
        <w:rPr>
          <w:rFonts w:hint="eastAsia" w:ascii="宋体" w:hAnsi="宋体" w:eastAsia="宋体" w:cs="宋体"/>
          <w:b/>
          <w:bCs/>
          <w:color w:val="auto"/>
          <w:szCs w:val="21"/>
          <w:u w:val="single"/>
        </w:rPr>
        <w:t xml:space="preserve">按通用条款执行                                           </w:t>
      </w:r>
    </w:p>
    <w:p w14:paraId="1BE816C0">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本合同通用条款第26.4款约定甲方违约应承担的违约责任：</w:t>
      </w:r>
      <w:r>
        <w:rPr>
          <w:rFonts w:hint="eastAsia" w:ascii="宋体" w:hAnsi="宋体" w:eastAsia="宋体" w:cs="宋体"/>
          <w:b/>
          <w:bCs/>
          <w:color w:val="auto"/>
          <w:szCs w:val="21"/>
          <w:u w:val="single"/>
        </w:rPr>
        <w:t xml:space="preserve">按通用条款执行 </w:t>
      </w:r>
      <w:r>
        <w:rPr>
          <w:rFonts w:hint="eastAsia" w:ascii="宋体" w:hAnsi="宋体" w:eastAsia="宋体" w:cs="宋体"/>
          <w:color w:val="auto"/>
          <w:szCs w:val="21"/>
          <w:u w:val="single"/>
        </w:rPr>
        <w:t xml:space="preserve">                                             </w:t>
      </w:r>
    </w:p>
    <w:p w14:paraId="1E6D055C">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本合同通用条款第 33.3款约定甲方违约应承担的违约责任：</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按通用条款执行 </w:t>
      </w:r>
      <w:r>
        <w:rPr>
          <w:rFonts w:hint="eastAsia" w:ascii="宋体" w:hAnsi="宋体" w:eastAsia="宋体" w:cs="宋体"/>
          <w:color w:val="auto"/>
          <w:szCs w:val="21"/>
          <w:u w:val="single"/>
        </w:rPr>
        <w:t xml:space="preserve">                                                         </w:t>
      </w:r>
    </w:p>
    <w:p w14:paraId="588E8152">
      <w:pPr>
        <w:spacing w:line="360" w:lineRule="auto"/>
        <w:ind w:firstLine="570"/>
        <w:rPr>
          <w:rFonts w:ascii="宋体" w:hAnsi="宋体" w:eastAsia="宋体" w:cs="宋体"/>
          <w:color w:val="auto"/>
          <w:szCs w:val="21"/>
        </w:rPr>
      </w:pPr>
      <w:r>
        <w:rPr>
          <w:rFonts w:hint="eastAsia" w:ascii="宋体" w:hAnsi="宋体" w:eastAsia="宋体" w:cs="宋体"/>
          <w:color w:val="auto"/>
          <w:szCs w:val="21"/>
        </w:rPr>
        <w:t>双方约定的甲方其他违约责任：</w:t>
      </w:r>
    </w:p>
    <w:p w14:paraId="7061D4DD">
      <w:pPr>
        <w:spacing w:line="360" w:lineRule="auto"/>
        <w:rPr>
          <w:rFonts w:ascii="宋体" w:hAnsi="宋体" w:eastAsia="宋体" w:cs="宋体"/>
          <w:color w:val="auto"/>
          <w:szCs w:val="21"/>
        </w:rPr>
      </w:pPr>
      <w:r>
        <w:rPr>
          <w:rFonts w:hint="eastAsia" w:ascii="宋体" w:hAnsi="宋体" w:eastAsia="宋体" w:cs="宋体"/>
          <w:color w:val="auto"/>
          <w:szCs w:val="21"/>
        </w:rPr>
        <w:t xml:space="preserve">    20.2本合同中关于乙方违约的具体责任如下：</w:t>
      </w:r>
    </w:p>
    <w:p w14:paraId="4B98B63E">
      <w:pPr>
        <w:spacing w:line="360" w:lineRule="auto"/>
        <w:rPr>
          <w:rFonts w:ascii="宋体" w:hAnsi="宋体" w:eastAsia="宋体" w:cs="宋体"/>
          <w:color w:val="auto"/>
          <w:szCs w:val="21"/>
        </w:rPr>
      </w:pPr>
      <w:r>
        <w:rPr>
          <w:rFonts w:hint="eastAsia" w:ascii="宋体" w:hAnsi="宋体" w:eastAsia="宋体" w:cs="宋体"/>
          <w:color w:val="auto"/>
          <w:szCs w:val="21"/>
        </w:rPr>
        <w:t xml:space="preserve">    本合同通用条款第14.2款约定乙方违约应承担的违约责任：</w:t>
      </w:r>
    </w:p>
    <w:p w14:paraId="63415AF7">
      <w:pPr>
        <w:spacing w:line="360" w:lineRule="auto"/>
        <w:ind w:firstLine="420" w:firstLineChars="200"/>
        <w:rPr>
          <w:rFonts w:ascii="宋体" w:hAnsi="宋体" w:eastAsia="宋体" w:cs="宋体"/>
          <w:b/>
          <w:bCs/>
          <w:color w:val="auto"/>
          <w:szCs w:val="21"/>
          <w:u w:val="single"/>
        </w:rPr>
      </w:pP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因乙方原因引起的工期延误按每天1000元处罚，因质量不合格所发生的返工损失及延误工期赔偿金均由乙方承担。                                                           </w:t>
      </w:r>
    </w:p>
    <w:p w14:paraId="52B31524">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本合同通用条款第15．1款约定采购人违约应承担的违约责任：/</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                                                            </w:t>
      </w:r>
    </w:p>
    <w:p w14:paraId="381C641A">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双方约定的采购人其他违约责任：</w:t>
      </w:r>
      <w:r>
        <w:rPr>
          <w:rFonts w:hint="eastAsia" w:ascii="宋体" w:hAnsi="宋体" w:eastAsia="宋体" w:cs="宋体"/>
          <w:color w:val="auto"/>
          <w:szCs w:val="21"/>
          <w:u w:val="single"/>
        </w:rPr>
        <w:t xml:space="preserve">                                 /                             </w:t>
      </w:r>
    </w:p>
    <w:p w14:paraId="38B03D2D">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21、争议</w:t>
      </w:r>
    </w:p>
    <w:p w14:paraId="7C78031A">
      <w:pPr>
        <w:spacing w:line="360" w:lineRule="auto"/>
        <w:rPr>
          <w:rFonts w:ascii="宋体" w:hAnsi="宋体" w:eastAsia="宋体" w:cs="宋体"/>
          <w:color w:val="auto"/>
          <w:szCs w:val="21"/>
        </w:rPr>
      </w:pPr>
      <w:r>
        <w:rPr>
          <w:rFonts w:hint="eastAsia" w:ascii="宋体" w:hAnsi="宋体" w:eastAsia="宋体" w:cs="宋体"/>
          <w:color w:val="auto"/>
          <w:szCs w:val="21"/>
        </w:rPr>
        <w:t xml:space="preserve">   21.l双方约定，在履行合同过程中产生争议时：</w:t>
      </w:r>
    </w:p>
    <w:p w14:paraId="2136F9E7">
      <w:pPr>
        <w:spacing w:line="360" w:lineRule="auto"/>
        <w:rPr>
          <w:rFonts w:ascii="宋体" w:hAnsi="宋体" w:eastAsia="宋体" w:cs="宋体"/>
          <w:color w:val="auto"/>
          <w:szCs w:val="21"/>
        </w:rPr>
      </w:pPr>
      <w:r>
        <w:rPr>
          <w:rFonts w:hint="eastAsia" w:ascii="宋体" w:hAnsi="宋体" w:eastAsia="宋体" w:cs="宋体"/>
          <w:color w:val="auto"/>
          <w:szCs w:val="21"/>
        </w:rPr>
        <w:t xml:space="preserve">   （1）由市合同争议行政调解委员会进行调解。</w:t>
      </w:r>
    </w:p>
    <w:p w14:paraId="2A1346AD">
      <w:pPr>
        <w:spacing w:line="360" w:lineRule="auto"/>
        <w:rPr>
          <w:rFonts w:ascii="宋体" w:hAnsi="宋体" w:eastAsia="宋体" w:cs="宋体"/>
          <w:color w:val="auto"/>
          <w:szCs w:val="21"/>
        </w:rPr>
      </w:pPr>
      <w:r>
        <w:rPr>
          <w:rFonts w:hint="eastAsia" w:ascii="宋体" w:hAnsi="宋体" w:eastAsia="宋体" w:cs="宋体"/>
          <w:color w:val="auto"/>
          <w:szCs w:val="21"/>
        </w:rPr>
        <w:t xml:space="preserve">   （2）当事人不愿和解、调解，或者和解、调解不成的，双方可以用“√”形式选择以下一种方式解决争议：</w:t>
      </w:r>
    </w:p>
    <w:p w14:paraId="62E14A15">
      <w:pPr>
        <w:spacing w:line="360" w:lineRule="auto"/>
        <w:rPr>
          <w:rFonts w:ascii="宋体" w:hAnsi="宋体" w:eastAsia="宋体" w:cs="宋体"/>
          <w:color w:val="auto"/>
          <w:szCs w:val="21"/>
        </w:rPr>
      </w:pPr>
      <w:r>
        <w:rPr>
          <w:rFonts w:hint="eastAsia" w:ascii="宋体" w:hAnsi="宋体" w:eastAsia="宋体" w:cs="宋体"/>
          <w:color w:val="auto"/>
          <w:szCs w:val="21"/>
        </w:rPr>
        <w:t xml:space="preserve">    第一种解决方式：向常州仲裁委员会申请仲裁；          (     )</w:t>
      </w:r>
    </w:p>
    <w:p w14:paraId="13673DDB">
      <w:pPr>
        <w:spacing w:line="360" w:lineRule="auto"/>
        <w:ind w:firstLine="480"/>
        <w:rPr>
          <w:rFonts w:ascii="宋体" w:hAnsi="宋体" w:eastAsia="宋体" w:cs="宋体"/>
          <w:color w:val="auto"/>
          <w:szCs w:val="21"/>
        </w:rPr>
      </w:pPr>
      <w:r>
        <w:rPr>
          <w:rFonts w:hint="eastAsia" w:ascii="宋体" w:hAnsi="宋体" w:eastAsia="宋体" w:cs="宋体"/>
          <w:color w:val="auto"/>
          <w:szCs w:val="21"/>
        </w:rPr>
        <w:t>第二种解决方式：向工程所在地人民法院起诉。          (  √ )</w:t>
      </w:r>
    </w:p>
    <w:p w14:paraId="57E30AF2">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十一、其他</w:t>
      </w:r>
    </w:p>
    <w:p w14:paraId="16F0D4FD">
      <w:pPr>
        <w:spacing w:line="360" w:lineRule="auto"/>
        <w:rPr>
          <w:rFonts w:ascii="宋体" w:hAnsi="宋体" w:eastAsia="宋体" w:cs="宋体"/>
          <w:b/>
          <w:bCs/>
          <w:color w:val="auto"/>
          <w:szCs w:val="21"/>
        </w:rPr>
      </w:pPr>
      <w:r>
        <w:rPr>
          <w:rFonts w:hint="eastAsia" w:ascii="宋体" w:hAnsi="宋体" w:eastAsia="宋体" w:cs="宋体"/>
          <w:b/>
          <w:bCs/>
          <w:color w:val="auto"/>
          <w:szCs w:val="21"/>
        </w:rPr>
        <w:t xml:space="preserve">    22、工程分包</w:t>
      </w:r>
    </w:p>
    <w:p w14:paraId="0204DFBB">
      <w:pPr>
        <w:spacing w:line="360" w:lineRule="auto"/>
        <w:rPr>
          <w:rFonts w:ascii="宋体" w:hAnsi="宋体" w:eastAsia="宋体" w:cs="宋体"/>
          <w:color w:val="auto"/>
          <w:szCs w:val="21"/>
        </w:rPr>
      </w:pPr>
      <w:r>
        <w:rPr>
          <w:rFonts w:hint="eastAsia" w:ascii="宋体" w:hAnsi="宋体" w:eastAsia="宋体" w:cs="宋体"/>
          <w:color w:val="auto"/>
          <w:szCs w:val="21"/>
        </w:rPr>
        <w:t xml:space="preserve">   22.1本工程甲方不同意乙方分包。</w:t>
      </w:r>
    </w:p>
    <w:p w14:paraId="7857E007">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23．不可抗力</w:t>
      </w:r>
    </w:p>
    <w:p w14:paraId="69A761B7">
      <w:pPr>
        <w:spacing w:line="360" w:lineRule="auto"/>
        <w:ind w:left="678" w:leftChars="223" w:hanging="210" w:hangingChars="100"/>
        <w:rPr>
          <w:rFonts w:ascii="宋体" w:hAnsi="宋体" w:eastAsia="宋体" w:cs="宋体"/>
          <w:b/>
          <w:bCs/>
          <w:color w:val="auto"/>
          <w:szCs w:val="21"/>
          <w:u w:val="single"/>
        </w:rPr>
      </w:pPr>
      <w:r>
        <w:rPr>
          <w:rFonts w:hint="eastAsia" w:ascii="宋体" w:hAnsi="宋体" w:eastAsia="宋体" w:cs="宋体"/>
          <w:color w:val="auto"/>
          <w:szCs w:val="21"/>
        </w:rPr>
        <w:t>23.l双方关于不可抗力的约定：</w:t>
      </w:r>
      <w:r>
        <w:rPr>
          <w:rFonts w:hint="eastAsia" w:ascii="宋体" w:hAnsi="宋体" w:eastAsia="宋体" w:cs="宋体"/>
          <w:b/>
          <w:bCs/>
          <w:color w:val="auto"/>
          <w:szCs w:val="21"/>
          <w:u w:val="single"/>
        </w:rPr>
        <w:t>发生战争、暴乱、6级以上地震、10级以上台风的情</w:t>
      </w:r>
    </w:p>
    <w:p w14:paraId="66A934C0">
      <w:pPr>
        <w:spacing w:line="360" w:lineRule="auto"/>
        <w:rPr>
          <w:rFonts w:ascii="宋体" w:hAnsi="宋体" w:eastAsia="宋体" w:cs="宋体"/>
          <w:b/>
          <w:bCs/>
          <w:color w:val="auto"/>
          <w:szCs w:val="21"/>
          <w:u w:val="single"/>
        </w:rPr>
      </w:pPr>
      <w:r>
        <w:rPr>
          <w:rFonts w:hint="eastAsia" w:ascii="宋体" w:hAnsi="宋体" w:eastAsia="宋体" w:cs="宋体"/>
          <w:b/>
          <w:bCs/>
          <w:color w:val="auto"/>
          <w:szCs w:val="21"/>
          <w:u w:val="single"/>
        </w:rPr>
        <w:t xml:space="preserve">况之一。                                </w:t>
      </w:r>
      <w:r>
        <w:rPr>
          <w:rFonts w:hint="eastAsia" w:ascii="宋体" w:hAnsi="宋体" w:eastAsia="宋体" w:cs="宋体"/>
          <w:color w:val="auto"/>
          <w:szCs w:val="21"/>
          <w:u w:val="single"/>
        </w:rPr>
        <w:t xml:space="preserve">                                                         </w:t>
      </w:r>
    </w:p>
    <w:p w14:paraId="17789230">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24、保险</w:t>
      </w:r>
    </w:p>
    <w:p w14:paraId="532E2F21">
      <w:pPr>
        <w:spacing w:line="360" w:lineRule="auto"/>
        <w:rPr>
          <w:rFonts w:ascii="宋体" w:hAnsi="宋体" w:eastAsia="宋体" w:cs="宋体"/>
          <w:color w:val="auto"/>
          <w:szCs w:val="21"/>
        </w:rPr>
      </w:pPr>
      <w:r>
        <w:rPr>
          <w:rFonts w:hint="eastAsia" w:ascii="宋体" w:hAnsi="宋体" w:eastAsia="宋体" w:cs="宋体"/>
          <w:color w:val="auto"/>
          <w:szCs w:val="21"/>
        </w:rPr>
        <w:t xml:space="preserve">    24.1本工程双方约定投保内容如下：</w:t>
      </w:r>
    </w:p>
    <w:p w14:paraId="21B06DD8">
      <w:pPr>
        <w:spacing w:line="360" w:lineRule="auto"/>
        <w:ind w:firstLine="210" w:firstLineChars="100"/>
        <w:rPr>
          <w:rFonts w:ascii="宋体" w:hAnsi="宋体" w:eastAsia="宋体" w:cs="宋体"/>
          <w:b/>
          <w:bCs/>
          <w:color w:val="auto"/>
          <w:szCs w:val="21"/>
        </w:rPr>
      </w:pPr>
      <w:r>
        <w:rPr>
          <w:rFonts w:hint="eastAsia" w:ascii="宋体" w:hAnsi="宋体" w:eastAsia="宋体" w:cs="宋体"/>
          <w:color w:val="auto"/>
          <w:szCs w:val="21"/>
        </w:rPr>
        <w:t>（1）甲方投保内容：</w:t>
      </w:r>
      <w:r>
        <w:rPr>
          <w:rFonts w:hint="eastAsia" w:ascii="宋体" w:hAnsi="宋体" w:eastAsia="宋体" w:cs="宋体"/>
          <w:color w:val="auto"/>
          <w:szCs w:val="21"/>
          <w:u w:val="single"/>
        </w:rPr>
        <w:t xml:space="preserve">                    /                   </w:t>
      </w:r>
    </w:p>
    <w:p w14:paraId="67DAD5EB">
      <w:pPr>
        <w:spacing w:line="360" w:lineRule="auto"/>
        <w:ind w:left="435"/>
        <w:rPr>
          <w:rFonts w:ascii="宋体" w:hAnsi="宋体" w:eastAsia="宋体" w:cs="宋体"/>
          <w:color w:val="auto"/>
          <w:szCs w:val="21"/>
        </w:rPr>
      </w:pPr>
      <w:r>
        <w:rPr>
          <w:rFonts w:hint="eastAsia" w:ascii="宋体" w:hAnsi="宋体" w:eastAsia="宋体" w:cs="宋体"/>
          <w:color w:val="auto"/>
          <w:szCs w:val="21"/>
        </w:rPr>
        <w:t>甲方委托乙方办理的保险事项：</w:t>
      </w:r>
      <w:r>
        <w:rPr>
          <w:rFonts w:hint="eastAsia" w:ascii="宋体" w:hAnsi="宋体" w:eastAsia="宋体" w:cs="宋体"/>
          <w:color w:val="auto"/>
          <w:szCs w:val="21"/>
          <w:u w:val="single"/>
        </w:rPr>
        <w:t xml:space="preserve">           /                   </w:t>
      </w:r>
    </w:p>
    <w:p w14:paraId="633E5D06">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（2）乙方投保内容：</w:t>
      </w:r>
      <w:r>
        <w:rPr>
          <w:rFonts w:hint="eastAsia" w:ascii="宋体" w:hAnsi="宋体" w:eastAsia="宋体" w:cs="宋体"/>
          <w:color w:val="auto"/>
          <w:szCs w:val="21"/>
          <w:u w:val="single"/>
        </w:rPr>
        <w:t xml:space="preserve"> 团队意外保险             </w:t>
      </w:r>
    </w:p>
    <w:p w14:paraId="55F41773">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25、担保</w:t>
      </w:r>
    </w:p>
    <w:p w14:paraId="76C6752A">
      <w:pPr>
        <w:spacing w:line="360" w:lineRule="auto"/>
        <w:rPr>
          <w:rFonts w:ascii="宋体" w:hAnsi="宋体" w:eastAsia="宋体" w:cs="宋体"/>
          <w:color w:val="auto"/>
          <w:szCs w:val="21"/>
        </w:rPr>
      </w:pPr>
      <w:r>
        <w:rPr>
          <w:rFonts w:hint="eastAsia" w:ascii="宋体" w:hAnsi="宋体" w:eastAsia="宋体" w:cs="宋体"/>
          <w:color w:val="auto"/>
          <w:szCs w:val="21"/>
        </w:rPr>
        <w:t xml:space="preserve">   25.1本工程双方约定担保事项如下：</w:t>
      </w:r>
    </w:p>
    <w:p w14:paraId="23C2EB0D">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(1)甲方向乙方提供履约担保，担保方式为：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担保合同作为本合同附件。</w:t>
      </w:r>
    </w:p>
    <w:p w14:paraId="0A98A37B">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(2)乙方向甲方提供履约担保，担保方式为：</w:t>
      </w:r>
      <w:r>
        <w:rPr>
          <w:rFonts w:hint="eastAsia" w:ascii="宋体" w:hAnsi="宋体" w:eastAsia="宋体" w:cs="宋体"/>
          <w:color w:val="auto"/>
          <w:szCs w:val="21"/>
          <w:u w:val="single"/>
        </w:rPr>
        <w:t xml:space="preserve">    /    </w:t>
      </w:r>
      <w:r>
        <w:rPr>
          <w:rFonts w:hint="eastAsia" w:ascii="宋体" w:hAnsi="宋体" w:eastAsia="宋体" w:cs="宋体"/>
          <w:color w:val="auto"/>
          <w:szCs w:val="21"/>
        </w:rPr>
        <w:t>担保合同作为本合同附件。</w:t>
      </w:r>
    </w:p>
    <w:p w14:paraId="3956CCE9">
      <w:pPr>
        <w:spacing w:line="360" w:lineRule="auto"/>
        <w:rPr>
          <w:rFonts w:ascii="宋体" w:hAnsi="宋体" w:eastAsia="宋体" w:cs="宋体"/>
          <w:color w:val="auto"/>
          <w:szCs w:val="21"/>
          <w:u w:val="single"/>
        </w:rPr>
      </w:pPr>
      <w:r>
        <w:rPr>
          <w:rFonts w:hint="eastAsia" w:ascii="宋体" w:hAnsi="宋体" w:eastAsia="宋体" w:cs="宋体"/>
          <w:color w:val="auto"/>
          <w:szCs w:val="21"/>
        </w:rPr>
        <w:t xml:space="preserve">    (3)双方约定的其他担保事项：</w:t>
      </w:r>
      <w:r>
        <w:rPr>
          <w:rFonts w:hint="eastAsia" w:ascii="宋体" w:hAnsi="宋体" w:eastAsia="宋体" w:cs="宋体"/>
          <w:color w:val="auto"/>
          <w:szCs w:val="21"/>
          <w:u w:val="single"/>
        </w:rPr>
        <w:t xml:space="preserve">                  /                                                                           </w:t>
      </w:r>
    </w:p>
    <w:p w14:paraId="0C40141F">
      <w:pPr>
        <w:spacing w:line="360" w:lineRule="auto"/>
        <w:rPr>
          <w:rFonts w:ascii="宋体" w:hAnsi="宋体" w:eastAsia="宋体" w:cs="宋体"/>
          <w:b/>
          <w:bCs/>
          <w:color w:val="auto"/>
          <w:szCs w:val="21"/>
        </w:rPr>
      </w:pPr>
      <w:r>
        <w:rPr>
          <w:rFonts w:hint="eastAsia" w:ascii="宋体" w:hAnsi="宋体" w:eastAsia="宋体" w:cs="宋体"/>
          <w:color w:val="auto"/>
          <w:szCs w:val="21"/>
        </w:rPr>
        <w:t xml:space="preserve">    </w:t>
      </w:r>
      <w:r>
        <w:rPr>
          <w:rFonts w:hint="eastAsia" w:ascii="宋体" w:hAnsi="宋体" w:eastAsia="宋体" w:cs="宋体"/>
          <w:b/>
          <w:bCs/>
          <w:color w:val="auto"/>
          <w:szCs w:val="21"/>
        </w:rPr>
        <w:t>26、合同份数</w:t>
      </w:r>
    </w:p>
    <w:p w14:paraId="5081960A">
      <w:pPr>
        <w:spacing w:line="360" w:lineRule="auto"/>
        <w:rPr>
          <w:rFonts w:ascii="宋体" w:hAnsi="宋体" w:eastAsia="宋体" w:cs="宋体"/>
          <w:b/>
          <w:bCs/>
          <w:color w:val="auto"/>
          <w:szCs w:val="21"/>
          <w:u w:val="single"/>
        </w:rPr>
      </w:pPr>
      <w:r>
        <w:rPr>
          <w:rFonts w:hint="eastAsia" w:ascii="宋体" w:hAnsi="宋体" w:eastAsia="宋体" w:cs="宋体"/>
          <w:color w:val="auto"/>
          <w:szCs w:val="21"/>
        </w:rPr>
        <w:t xml:space="preserve">    26.1双方约定合同份数：</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 xml:space="preserve">正本贰份、副本肆份                                                         </w:t>
      </w:r>
    </w:p>
    <w:p w14:paraId="17A7D048">
      <w:pPr>
        <w:spacing w:line="360" w:lineRule="auto"/>
        <w:ind w:left="560"/>
        <w:rPr>
          <w:rFonts w:ascii="宋体" w:hAnsi="宋体" w:eastAsia="宋体" w:cs="宋体"/>
          <w:b/>
          <w:bCs/>
          <w:color w:val="auto"/>
          <w:szCs w:val="21"/>
          <w:u w:val="single"/>
        </w:rPr>
      </w:pPr>
      <w:r>
        <w:rPr>
          <w:rFonts w:hint="eastAsia" w:ascii="宋体" w:hAnsi="宋体" w:eastAsia="宋体" w:cs="宋体"/>
          <w:b/>
          <w:bCs/>
          <w:color w:val="auto"/>
          <w:szCs w:val="21"/>
        </w:rPr>
        <w:t>27、补充条款</w:t>
      </w:r>
    </w:p>
    <w:p w14:paraId="2A828528">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1）工程开工日期以甲方开工令为准。</w:t>
      </w:r>
    </w:p>
    <w:p w14:paraId="3C7F6DC2">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2）竣工日期以竣工验收证明上载明的时间为准。</w:t>
      </w:r>
    </w:p>
    <w:p w14:paraId="43731212">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3）乙方应按相关规定及甲方要求自行完成档案资料的制作，并及时整理、送达竣工资料。</w:t>
      </w:r>
    </w:p>
    <w:p w14:paraId="6FC5F62C">
      <w:pPr>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4）本工程竣工验收合格交付时必须做到工完场清，确保整洁、卫生。</w:t>
      </w:r>
    </w:p>
    <w:p w14:paraId="35EBBA11">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14:paraId="7B2AED30">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6）乙方须服从甲方公司的现场管理制度及处罚规定，服从甲方现场的管理人员、甲方、建装中心、规财科、监理等部门的管理。</w:t>
      </w:r>
    </w:p>
    <w:p w14:paraId="3E6557FB">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14:paraId="668D1730">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8）工程施工过程中所有需要在合同价外另行增加的内容，乙方必须无条件服从甲方安排，不得以任何理由拖延施工；所涉及费用在竣工结算时由审计确认。</w:t>
      </w:r>
    </w:p>
    <w:p w14:paraId="2B378E03">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9）所有涉及工程过程质量（材料）验收、结算签证等相关手续、资料的报验必须按照学校、监理或者相关规定执行。</w:t>
      </w:r>
      <w:bookmarkEnd w:id="40"/>
    </w:p>
    <w:p w14:paraId="6D19BBBC">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14:paraId="307FD1FD">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11）施工过程中扬尘、噪音控制等需符合相关文件规定，如被相关部门查处并通报，除按规定处罚以外还需向采购人支付2万元/次的违约金。</w:t>
      </w:r>
    </w:p>
    <w:p w14:paraId="1104BDF8">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12）建筑垃圾处理执行《常州市金坛区建筑垃圾收集运输和处置管理规定》（详见坛政规【2024】3号文）。 施工现场建筑垃圾管理的相关措施须符合《关于进一步加强建筑垃圾管理工作的实施方案》（常政办发〔2024〕17号）文件要求执行。</w:t>
      </w:r>
    </w:p>
    <w:p w14:paraId="1C5903E3">
      <w:pPr>
        <w:spacing w:line="360" w:lineRule="auto"/>
        <w:ind w:firstLine="422" w:firstLineChars="200"/>
        <w:rPr>
          <w:rFonts w:ascii="宋体" w:hAnsi="宋体" w:eastAsia="宋体" w:cs="宋体"/>
          <w:b/>
          <w:bCs/>
          <w:color w:val="auto"/>
          <w:szCs w:val="21"/>
          <w:u w:val="single"/>
        </w:rPr>
      </w:pPr>
      <w:r>
        <w:rPr>
          <w:rFonts w:hint="eastAsia" w:ascii="宋体" w:hAnsi="宋体" w:eastAsia="宋体" w:cs="宋体"/>
          <w:b/>
          <w:bCs/>
          <w:color w:val="auto"/>
          <w:szCs w:val="21"/>
          <w:lang w:val="en-US" w:eastAsia="zh-CN"/>
        </w:rPr>
        <w:t>13</w:t>
      </w:r>
      <w:r>
        <w:rPr>
          <w:rFonts w:hint="eastAsia" w:ascii="宋体" w:hAnsi="宋体" w:eastAsia="宋体" w:cs="宋体"/>
          <w:b/>
          <w:bCs/>
          <w:color w:val="auto"/>
          <w:szCs w:val="21"/>
        </w:rPr>
        <w:t>）其他未尽事项，双方另行协商决定。</w:t>
      </w:r>
    </w:p>
    <w:p w14:paraId="562A0FE1">
      <w:pPr>
        <w:spacing w:line="300" w:lineRule="exact"/>
        <w:rPr>
          <w:rFonts w:hint="eastAsia" w:ascii="宋体" w:hAnsi="宋体" w:eastAsia="宋体" w:cs="宋体"/>
          <w:color w:val="auto"/>
          <w:szCs w:val="21"/>
        </w:rPr>
      </w:pPr>
      <w:r>
        <w:rPr>
          <w:rFonts w:hint="eastAsia" w:ascii="宋体" w:hAnsi="宋体" w:eastAsia="宋体" w:cs="宋体"/>
          <w:color w:val="auto"/>
          <w:szCs w:val="21"/>
        </w:rPr>
        <w:t xml:space="preserve">       </w:t>
      </w:r>
    </w:p>
    <w:p w14:paraId="290C5B60">
      <w:pPr>
        <w:spacing w:line="300" w:lineRule="exact"/>
        <w:rPr>
          <w:rFonts w:ascii="宋体" w:hAnsi="宋体" w:eastAsia="宋体" w:cs="宋体"/>
          <w:b/>
          <w:bCs/>
          <w:sz w:val="24"/>
        </w:rPr>
      </w:pPr>
      <w:r>
        <w:rPr>
          <w:rFonts w:hint="eastAsia" w:ascii="宋体" w:hAnsi="宋体" w:eastAsia="宋体" w:cs="宋体"/>
          <w:b/>
          <w:bCs/>
          <w:sz w:val="22"/>
          <w:szCs w:val="22"/>
        </w:rPr>
        <w:t>此页无正文</w:t>
      </w:r>
      <w:r>
        <w:rPr>
          <w:rFonts w:hint="eastAsia" w:ascii="宋体" w:hAnsi="宋体" w:eastAsia="宋体" w:cs="宋体"/>
          <w:b/>
          <w:bCs/>
          <w:sz w:val="24"/>
        </w:rPr>
        <w:t xml:space="preserve"> ：</w:t>
      </w:r>
    </w:p>
    <w:p w14:paraId="30AC2E6A">
      <w:pPr>
        <w:spacing w:line="300" w:lineRule="exact"/>
        <w:rPr>
          <w:rFonts w:ascii="宋体" w:hAnsi="宋体" w:eastAsia="宋体" w:cs="宋体"/>
          <w:color w:val="auto"/>
          <w:szCs w:val="21"/>
        </w:rPr>
      </w:pPr>
      <w:r>
        <w:rPr>
          <w:rFonts w:hint="eastAsia" w:ascii="宋体" w:hAnsi="宋体" w:eastAsia="宋体" w:cs="宋体"/>
          <w:color w:val="auto"/>
          <w:szCs w:val="21"/>
        </w:rPr>
        <w:t xml:space="preserve"> </w:t>
      </w:r>
    </w:p>
    <w:p w14:paraId="36E21302">
      <w:pPr>
        <w:spacing w:line="300" w:lineRule="exact"/>
        <w:ind w:firstLine="840" w:firstLineChars="400"/>
        <w:rPr>
          <w:rFonts w:ascii="宋体" w:hAnsi="宋体" w:eastAsia="宋体" w:cs="宋体"/>
          <w:color w:val="auto"/>
          <w:szCs w:val="21"/>
        </w:rPr>
      </w:pPr>
      <w:r>
        <w:rPr>
          <w:rFonts w:hint="eastAsia" w:ascii="宋体" w:hAnsi="宋体" w:eastAsia="宋体" w:cs="宋体"/>
          <w:color w:val="auto"/>
          <w:szCs w:val="21"/>
        </w:rPr>
        <w:t xml:space="preserve">甲方（公章）：               乙方（公章）：  </w:t>
      </w:r>
    </w:p>
    <w:p w14:paraId="31813BA8">
      <w:pPr>
        <w:spacing w:line="300" w:lineRule="exact"/>
        <w:rPr>
          <w:rFonts w:ascii="宋体" w:hAnsi="宋体" w:eastAsia="宋体" w:cs="宋体"/>
          <w:color w:val="auto"/>
          <w:szCs w:val="21"/>
        </w:rPr>
      </w:pPr>
      <w:r>
        <w:rPr>
          <w:rFonts w:hint="eastAsia" w:ascii="宋体" w:hAnsi="宋体" w:eastAsia="宋体" w:cs="宋体"/>
          <w:color w:val="auto"/>
          <w:szCs w:val="21"/>
        </w:rPr>
        <w:t xml:space="preserve">        住所：                      住所：           </w:t>
      </w:r>
    </w:p>
    <w:p w14:paraId="565F9E72">
      <w:pPr>
        <w:spacing w:line="300" w:lineRule="exact"/>
        <w:rPr>
          <w:rFonts w:ascii="宋体" w:hAnsi="宋体" w:eastAsia="宋体" w:cs="宋体"/>
          <w:color w:val="auto"/>
          <w:szCs w:val="21"/>
        </w:rPr>
      </w:pPr>
      <w:r>
        <w:rPr>
          <w:rFonts w:hint="eastAsia" w:ascii="宋体" w:hAnsi="宋体" w:eastAsia="宋体" w:cs="宋体"/>
          <w:color w:val="auto"/>
          <w:szCs w:val="21"/>
        </w:rPr>
        <w:t xml:space="preserve">        法定代表人：                法定代表人：</w:t>
      </w:r>
    </w:p>
    <w:p w14:paraId="283AD460">
      <w:pPr>
        <w:spacing w:line="300" w:lineRule="exact"/>
        <w:rPr>
          <w:rFonts w:ascii="宋体" w:hAnsi="宋体" w:eastAsia="宋体" w:cs="宋体"/>
          <w:color w:val="auto"/>
          <w:szCs w:val="21"/>
        </w:rPr>
      </w:pPr>
      <w:r>
        <w:rPr>
          <w:rFonts w:hint="eastAsia" w:ascii="宋体" w:hAnsi="宋体" w:eastAsia="宋体" w:cs="宋体"/>
          <w:color w:val="auto"/>
          <w:szCs w:val="21"/>
        </w:rPr>
        <w:t xml:space="preserve">        委托代理人：                委托代理人：      </w:t>
      </w:r>
    </w:p>
    <w:p w14:paraId="4D629854">
      <w:pPr>
        <w:spacing w:line="300" w:lineRule="exact"/>
        <w:rPr>
          <w:rFonts w:ascii="宋体" w:hAnsi="宋体" w:eastAsia="宋体" w:cs="宋体"/>
          <w:color w:val="auto"/>
          <w:szCs w:val="21"/>
        </w:rPr>
      </w:pPr>
      <w:r>
        <w:rPr>
          <w:rFonts w:hint="eastAsia" w:ascii="宋体" w:hAnsi="宋体" w:eastAsia="宋体" w:cs="宋体"/>
          <w:color w:val="auto"/>
          <w:szCs w:val="21"/>
        </w:rPr>
        <w:t xml:space="preserve">        电话：                      电话：            </w:t>
      </w:r>
    </w:p>
    <w:p w14:paraId="6A230776">
      <w:pPr>
        <w:spacing w:line="300" w:lineRule="exact"/>
        <w:rPr>
          <w:rFonts w:ascii="宋体" w:hAnsi="宋体" w:eastAsia="宋体" w:cs="宋体"/>
          <w:color w:val="auto"/>
          <w:szCs w:val="21"/>
        </w:rPr>
      </w:pPr>
      <w:r>
        <w:rPr>
          <w:rFonts w:hint="eastAsia" w:ascii="宋体" w:hAnsi="宋体" w:eastAsia="宋体" w:cs="宋体"/>
          <w:color w:val="auto"/>
          <w:szCs w:val="21"/>
        </w:rPr>
        <w:t xml:space="preserve">        传真：                      传真：            </w:t>
      </w:r>
    </w:p>
    <w:p w14:paraId="20078C04">
      <w:pPr>
        <w:spacing w:line="300" w:lineRule="exact"/>
        <w:rPr>
          <w:rFonts w:ascii="宋体" w:hAnsi="宋体" w:eastAsia="宋体" w:cs="宋体"/>
          <w:color w:val="auto"/>
          <w:szCs w:val="21"/>
        </w:rPr>
      </w:pPr>
      <w:r>
        <w:rPr>
          <w:rFonts w:hint="eastAsia" w:ascii="宋体" w:hAnsi="宋体" w:eastAsia="宋体" w:cs="宋体"/>
          <w:color w:val="auto"/>
          <w:szCs w:val="21"/>
        </w:rPr>
        <w:t xml:space="preserve">        开户银行：                  开户银行：</w:t>
      </w:r>
    </w:p>
    <w:p w14:paraId="7D092A96">
      <w:pPr>
        <w:spacing w:line="300" w:lineRule="exact"/>
        <w:rPr>
          <w:rFonts w:ascii="宋体" w:hAnsi="宋体" w:eastAsia="宋体" w:cs="宋体"/>
          <w:color w:val="auto"/>
          <w:szCs w:val="21"/>
        </w:rPr>
      </w:pPr>
      <w:r>
        <w:rPr>
          <w:rFonts w:hint="eastAsia" w:ascii="宋体" w:hAnsi="宋体" w:eastAsia="宋体" w:cs="宋体"/>
          <w:color w:val="auto"/>
          <w:szCs w:val="21"/>
        </w:rPr>
        <w:t xml:space="preserve">        帐号：                      帐号：            </w:t>
      </w:r>
    </w:p>
    <w:p w14:paraId="5B620AB1">
      <w:pPr>
        <w:spacing w:line="300" w:lineRule="exact"/>
        <w:rPr>
          <w:rFonts w:ascii="宋体" w:hAnsi="宋体" w:eastAsia="宋体" w:cs="宋体"/>
          <w:color w:val="auto"/>
          <w:szCs w:val="21"/>
        </w:rPr>
      </w:pPr>
      <w:r>
        <w:rPr>
          <w:rFonts w:hint="eastAsia" w:ascii="宋体" w:hAnsi="宋体" w:eastAsia="宋体" w:cs="宋体"/>
          <w:color w:val="auto"/>
          <w:szCs w:val="21"/>
        </w:rPr>
        <w:t xml:space="preserve">        邮政编码：                  邮政编码：     </w:t>
      </w:r>
    </w:p>
    <w:p w14:paraId="7B3221DE">
      <w:pPr>
        <w:spacing w:line="340" w:lineRule="exact"/>
        <w:jc w:val="center"/>
        <w:rPr>
          <w:rFonts w:ascii="宋体" w:hAnsi="宋体" w:eastAsia="宋体" w:cs="宋体"/>
          <w:b/>
          <w:bCs/>
          <w:color w:val="auto"/>
          <w:szCs w:val="21"/>
        </w:rPr>
      </w:pPr>
      <w:r>
        <w:rPr>
          <w:rFonts w:hint="eastAsia" w:ascii="宋体" w:hAnsi="宋体" w:eastAsia="宋体" w:cs="宋体"/>
          <w:b/>
          <w:bCs/>
          <w:color w:val="auto"/>
          <w:szCs w:val="21"/>
        </w:rPr>
        <w:br w:type="page"/>
      </w:r>
      <w:r>
        <w:rPr>
          <w:rFonts w:hint="eastAsia" w:ascii="宋体" w:hAnsi="宋体" w:eastAsia="宋体" w:cs="宋体"/>
          <w:b/>
          <w:bCs/>
          <w:color w:val="auto"/>
          <w:sz w:val="28"/>
          <w:szCs w:val="28"/>
        </w:rPr>
        <w:t>工 程 质 量 保 修 书</w:t>
      </w:r>
    </w:p>
    <w:p w14:paraId="47BE30BB">
      <w:pPr>
        <w:spacing w:line="360" w:lineRule="auto"/>
        <w:ind w:firstLine="630" w:firstLineChars="300"/>
        <w:rPr>
          <w:rFonts w:ascii="宋体" w:hAnsi="宋体" w:eastAsia="宋体" w:cs="宋体"/>
          <w:color w:val="auto"/>
          <w:szCs w:val="21"/>
          <w:u w:val="single"/>
        </w:rPr>
      </w:pPr>
      <w:r>
        <w:rPr>
          <w:rFonts w:hint="eastAsia" w:ascii="宋体" w:hAnsi="宋体" w:eastAsia="宋体" w:cs="宋体"/>
          <w:color w:val="auto"/>
          <w:szCs w:val="21"/>
        </w:rPr>
        <w:t>甲方：</w:t>
      </w:r>
      <w:r>
        <w:rPr>
          <w:rFonts w:hint="eastAsia" w:ascii="宋体" w:hAnsi="宋体" w:eastAsia="宋体" w:cs="宋体"/>
          <w:color w:val="auto"/>
          <w:szCs w:val="21"/>
          <w:u w:val="single"/>
          <w:lang w:eastAsia="zh-CN"/>
        </w:rPr>
        <w:t>常州市金坛新城实验幼儿园</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14:paraId="71B26346">
      <w:pPr>
        <w:spacing w:line="360" w:lineRule="auto"/>
        <w:ind w:firstLine="630" w:firstLineChars="300"/>
        <w:rPr>
          <w:rFonts w:hint="default" w:ascii="宋体" w:hAnsi="宋体" w:eastAsia="宋体" w:cs="宋体"/>
          <w:color w:val="auto"/>
          <w:szCs w:val="21"/>
          <w:u w:val="single"/>
          <w:lang w:val="en-US" w:eastAsia="zh-CN"/>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p>
    <w:p w14:paraId="45D1D0F4">
      <w:pPr>
        <w:spacing w:line="340" w:lineRule="exact"/>
        <w:ind w:left="280" w:firstLine="290"/>
        <w:rPr>
          <w:rFonts w:ascii="宋体" w:hAnsi="宋体" w:eastAsia="宋体" w:cs="宋体"/>
          <w:color w:val="auto"/>
          <w:szCs w:val="21"/>
        </w:rPr>
      </w:pPr>
      <w:r>
        <w:rPr>
          <w:rFonts w:hint="eastAsia" w:ascii="宋体" w:hAnsi="宋体" w:eastAsia="宋体" w:cs="宋体"/>
          <w:color w:val="auto"/>
          <w:szCs w:val="21"/>
        </w:rPr>
        <w:t>为保</w:t>
      </w:r>
      <w:r>
        <w:rPr>
          <w:rFonts w:hint="eastAsia" w:ascii="宋体" w:hAnsi="宋体" w:eastAsia="宋体" w:cs="宋体"/>
          <w:b w:val="0"/>
          <w:bCs w:val="0"/>
          <w:color w:val="auto"/>
          <w:szCs w:val="21"/>
          <w:u w:val="none"/>
        </w:rPr>
        <w:t>证</w:t>
      </w:r>
      <w:r>
        <w:rPr>
          <w:rFonts w:hint="eastAsia" w:ascii="宋体" w:hAnsi="宋体" w:eastAsia="宋体" w:cs="宋体"/>
          <w:b w:val="0"/>
          <w:bCs w:val="0"/>
          <w:color w:val="auto"/>
          <w:szCs w:val="21"/>
          <w:u w:val="single"/>
          <w:lang w:val="en-US" w:eastAsia="zh-CN"/>
        </w:rPr>
        <w:t xml:space="preserve"> </w:t>
      </w:r>
      <w:r>
        <w:rPr>
          <w:rFonts w:hint="eastAsia" w:ascii="宋体" w:hAnsi="宋体" w:eastAsia="宋体" w:cs="宋体"/>
          <w:b/>
          <w:bCs/>
          <w:color w:val="auto"/>
          <w:szCs w:val="21"/>
          <w:u w:val="single"/>
          <w:lang w:eastAsia="zh-CN"/>
        </w:rPr>
        <w:t>新城实验幼儿园暑期木质防护</w:t>
      </w:r>
      <w:r>
        <w:rPr>
          <w:rFonts w:hint="eastAsia" w:ascii="宋体" w:hAnsi="宋体" w:eastAsia="宋体" w:cs="宋体"/>
          <w:b/>
          <w:bCs/>
          <w:color w:val="auto"/>
          <w:szCs w:val="21"/>
          <w:u w:val="single"/>
          <w:lang w:val="en-US" w:eastAsia="zh-CN"/>
        </w:rPr>
        <w:t xml:space="preserve"> </w:t>
      </w:r>
      <w:r>
        <w:rPr>
          <w:rFonts w:hint="eastAsia" w:ascii="宋体" w:hAnsi="宋体" w:eastAsia="宋体" w:cs="宋体"/>
          <w:color w:val="auto"/>
          <w:szCs w:val="21"/>
        </w:rPr>
        <w:t>（工程名称）在合理使用期限内正常使用，甲方乙方协商一致签订工程质量保修书。乙方在质量保修期内按照有关管理规定及双方约定承担工程质量保修责任。</w:t>
      </w:r>
    </w:p>
    <w:p w14:paraId="59DB5A6C">
      <w:pPr>
        <w:spacing w:line="340" w:lineRule="exact"/>
        <w:rPr>
          <w:rFonts w:ascii="宋体" w:hAnsi="宋体" w:eastAsia="宋体" w:cs="宋体"/>
          <w:color w:val="auto"/>
          <w:szCs w:val="21"/>
        </w:rPr>
      </w:pPr>
      <w:r>
        <w:rPr>
          <w:rFonts w:hint="eastAsia" w:ascii="宋体" w:hAnsi="宋体" w:eastAsia="宋体" w:cs="宋体"/>
          <w:color w:val="auto"/>
          <w:szCs w:val="21"/>
        </w:rPr>
        <w:t xml:space="preserve">    一、工程质量保修范围和内容</w:t>
      </w:r>
    </w:p>
    <w:p w14:paraId="36BBFD49">
      <w:pPr>
        <w:spacing w:line="340" w:lineRule="exact"/>
        <w:rPr>
          <w:rFonts w:ascii="宋体" w:hAnsi="宋体" w:eastAsia="宋体" w:cs="宋体"/>
          <w:color w:val="auto"/>
          <w:szCs w:val="21"/>
        </w:rPr>
      </w:pPr>
      <w:r>
        <w:rPr>
          <w:rFonts w:hint="eastAsia" w:ascii="宋体" w:hAnsi="宋体" w:eastAsia="宋体" w:cs="宋体"/>
          <w:color w:val="auto"/>
          <w:szCs w:val="21"/>
        </w:rPr>
        <w:t xml:space="preserve">    质量保修范围包括施工图纸</w:t>
      </w:r>
      <w:r>
        <w:rPr>
          <w:rFonts w:hint="eastAsia" w:ascii="宋体" w:hAnsi="宋体" w:eastAsia="宋体" w:cs="宋体"/>
          <w:color w:val="auto"/>
          <w:szCs w:val="21"/>
          <w:u w:val="single"/>
        </w:rPr>
        <w:t>范围内的</w:t>
      </w:r>
      <w:r>
        <w:rPr>
          <w:rFonts w:hint="eastAsia" w:ascii="宋体" w:hAnsi="宋体" w:eastAsia="宋体" w:cs="宋体"/>
          <w:color w:val="auto"/>
          <w:szCs w:val="21"/>
        </w:rPr>
        <w:t>工程，具体质量保修内容双方约定如下：</w:t>
      </w:r>
      <w:r>
        <w:rPr>
          <w:rFonts w:hint="eastAsia" w:ascii="宋体" w:hAnsi="宋体" w:eastAsia="宋体" w:cs="宋体"/>
          <w:color w:val="auto"/>
          <w:szCs w:val="21"/>
          <w:u w:val="single"/>
        </w:rPr>
        <w:t xml:space="preserve"> </w:t>
      </w:r>
      <w:r>
        <w:rPr>
          <w:rFonts w:hint="eastAsia" w:ascii="宋体" w:hAnsi="宋体" w:eastAsia="宋体" w:cs="宋体"/>
          <w:b/>
          <w:bCs/>
          <w:color w:val="auto"/>
          <w:szCs w:val="21"/>
          <w:u w:val="single"/>
        </w:rPr>
        <w:t>按现行国家有关法律、法规规定的乙方所有承包范围内项目工程质量缺陷。</w:t>
      </w:r>
      <w:r>
        <w:rPr>
          <w:rFonts w:hint="eastAsia" w:ascii="宋体" w:hAnsi="宋体" w:eastAsia="宋体" w:cs="宋体"/>
          <w:color w:val="auto"/>
          <w:szCs w:val="21"/>
          <w:u w:val="single"/>
        </w:rPr>
        <w:t xml:space="preserve">                                                                                                                         </w:t>
      </w:r>
    </w:p>
    <w:p w14:paraId="516C040F">
      <w:pPr>
        <w:spacing w:line="340" w:lineRule="exact"/>
        <w:rPr>
          <w:rFonts w:ascii="宋体" w:hAnsi="宋体" w:eastAsia="宋体" w:cs="宋体"/>
          <w:color w:val="auto"/>
          <w:szCs w:val="21"/>
        </w:rPr>
      </w:pPr>
      <w:r>
        <w:rPr>
          <w:rFonts w:hint="eastAsia" w:ascii="宋体" w:hAnsi="宋体" w:eastAsia="宋体" w:cs="宋体"/>
          <w:color w:val="auto"/>
          <w:szCs w:val="21"/>
        </w:rPr>
        <w:t xml:space="preserve">    二、质量保修期</w:t>
      </w:r>
    </w:p>
    <w:p w14:paraId="3E43403D">
      <w:pPr>
        <w:spacing w:line="340" w:lineRule="exact"/>
        <w:rPr>
          <w:rFonts w:ascii="宋体" w:hAnsi="宋体" w:eastAsia="宋体" w:cs="宋体"/>
          <w:color w:val="auto"/>
          <w:szCs w:val="21"/>
        </w:rPr>
      </w:pPr>
      <w:r>
        <w:rPr>
          <w:rFonts w:hint="eastAsia" w:ascii="宋体" w:hAnsi="宋体" w:eastAsia="宋体" w:cs="宋体"/>
          <w:color w:val="auto"/>
          <w:szCs w:val="21"/>
        </w:rPr>
        <w:t xml:space="preserve">    质量保修期从工程实际竣工之日算起。分单项竣工验收的工程，按单项工程分别计算质量保修期。</w:t>
      </w:r>
    </w:p>
    <w:p w14:paraId="3312877F">
      <w:pPr>
        <w:spacing w:line="340" w:lineRule="exact"/>
        <w:rPr>
          <w:rFonts w:ascii="宋体" w:hAnsi="宋体" w:eastAsia="宋体" w:cs="宋体"/>
          <w:color w:val="auto"/>
          <w:szCs w:val="21"/>
        </w:rPr>
      </w:pPr>
      <w:r>
        <w:rPr>
          <w:rFonts w:hint="eastAsia" w:ascii="宋体" w:hAnsi="宋体" w:eastAsia="宋体" w:cs="宋体"/>
          <w:color w:val="auto"/>
          <w:szCs w:val="21"/>
        </w:rPr>
        <w:t xml:space="preserve">    双方根据国家有关规定，结合具体工程约定质量保修期如下。</w:t>
      </w:r>
    </w:p>
    <w:p w14:paraId="215662E7">
      <w:pPr>
        <w:numPr>
          <w:ilvl w:val="0"/>
          <w:numId w:val="9"/>
        </w:numPr>
        <w:spacing w:line="340" w:lineRule="exact"/>
        <w:ind w:firstLine="420" w:firstLineChars="200"/>
        <w:rPr>
          <w:rFonts w:ascii="宋体" w:hAnsi="宋体" w:eastAsia="宋体" w:cs="宋体"/>
          <w:color w:val="auto"/>
          <w:szCs w:val="21"/>
        </w:rPr>
      </w:pPr>
      <w:r>
        <w:rPr>
          <w:rFonts w:hint="eastAsia" w:ascii="宋体" w:hAnsi="宋体" w:eastAsia="宋体" w:cs="宋体"/>
          <w:color w:val="auto"/>
          <w:szCs w:val="21"/>
        </w:rPr>
        <w:t>土建工程为</w:t>
      </w:r>
      <w:r>
        <w:rPr>
          <w:rFonts w:hint="eastAsia" w:ascii="宋体" w:hAnsi="宋体" w:eastAsia="宋体" w:cs="宋体"/>
          <w:b/>
          <w:bCs/>
          <w:color w:val="auto"/>
          <w:szCs w:val="21"/>
          <w:u w:val="single"/>
        </w:rPr>
        <w:t xml:space="preserve">合理使用 </w:t>
      </w:r>
      <w:r>
        <w:rPr>
          <w:rFonts w:hint="eastAsia" w:ascii="宋体" w:hAnsi="宋体" w:eastAsia="宋体" w:cs="宋体"/>
          <w:color w:val="auto"/>
          <w:szCs w:val="21"/>
        </w:rPr>
        <w:t>年，屋面防水、墙面、厨房、卫生间渗漏为</w:t>
      </w:r>
      <w:r>
        <w:rPr>
          <w:rFonts w:hint="eastAsia" w:ascii="宋体" w:hAnsi="宋体" w:eastAsia="宋体" w:cs="宋体"/>
          <w:color w:val="auto"/>
          <w:szCs w:val="21"/>
          <w:u w:val="single"/>
        </w:rPr>
        <w:t>5</w:t>
      </w:r>
      <w:r>
        <w:rPr>
          <w:rFonts w:hint="eastAsia" w:ascii="宋体" w:hAnsi="宋体" w:eastAsia="宋体" w:cs="宋体"/>
          <w:color w:val="auto"/>
          <w:szCs w:val="21"/>
          <w:u w:val="single"/>
        </w:rPr>
        <w:tab/>
      </w:r>
      <w:r>
        <w:rPr>
          <w:rFonts w:hint="eastAsia" w:ascii="宋体" w:hAnsi="宋体" w:eastAsia="宋体" w:cs="宋体"/>
          <w:color w:val="auto"/>
          <w:szCs w:val="21"/>
        </w:rPr>
        <w:t xml:space="preserve">年； </w:t>
      </w:r>
    </w:p>
    <w:p w14:paraId="5FFC6C1D">
      <w:pPr>
        <w:numPr>
          <w:ilvl w:val="0"/>
          <w:numId w:val="9"/>
        </w:numPr>
        <w:spacing w:line="340" w:lineRule="exact"/>
        <w:ind w:firstLine="420" w:firstLineChars="200"/>
        <w:rPr>
          <w:rFonts w:ascii="宋体" w:hAnsi="宋体" w:eastAsia="宋体" w:cs="宋体"/>
          <w:color w:val="auto"/>
          <w:szCs w:val="21"/>
        </w:rPr>
      </w:pPr>
      <w:r>
        <w:rPr>
          <w:rFonts w:hint="eastAsia" w:ascii="宋体" w:hAnsi="宋体" w:eastAsia="宋体" w:cs="宋体"/>
          <w:color w:val="auto"/>
          <w:szCs w:val="21"/>
        </w:rPr>
        <w:t>电气管线、上下水管安装工程为</w:t>
      </w:r>
      <w:r>
        <w:rPr>
          <w:rFonts w:hint="eastAsia" w:ascii="宋体" w:hAnsi="宋体" w:eastAsia="宋体" w:cs="宋体"/>
          <w:color w:val="auto"/>
          <w:szCs w:val="21"/>
          <w:u w:val="single"/>
        </w:rPr>
        <w:tab/>
      </w:r>
      <w:r>
        <w:rPr>
          <w:rFonts w:hint="eastAsia" w:ascii="宋体" w:hAnsi="宋体" w:eastAsia="宋体" w:cs="宋体"/>
          <w:color w:val="auto"/>
          <w:szCs w:val="21"/>
          <w:u w:val="single"/>
        </w:rPr>
        <w:t>2</w:t>
      </w:r>
      <w:r>
        <w:rPr>
          <w:rFonts w:hint="eastAsia" w:ascii="宋体" w:hAnsi="宋体" w:eastAsia="宋体" w:cs="宋体"/>
          <w:color w:val="auto"/>
          <w:szCs w:val="21"/>
          <w:u w:val="single"/>
        </w:rPr>
        <w:tab/>
      </w:r>
      <w:r>
        <w:rPr>
          <w:rFonts w:hint="eastAsia" w:ascii="宋体" w:hAnsi="宋体" w:eastAsia="宋体" w:cs="宋体"/>
          <w:color w:val="auto"/>
          <w:szCs w:val="21"/>
        </w:rPr>
        <w:t>年；</w:t>
      </w:r>
    </w:p>
    <w:p w14:paraId="037B63C7">
      <w:pPr>
        <w:spacing w:line="340" w:lineRule="exact"/>
        <w:ind w:firstLine="420" w:firstLineChars="200"/>
        <w:rPr>
          <w:rFonts w:ascii="宋体" w:hAnsi="宋体" w:eastAsia="宋体" w:cs="宋体"/>
          <w:color w:val="auto"/>
          <w:szCs w:val="21"/>
        </w:rPr>
      </w:pPr>
      <w:r>
        <w:rPr>
          <w:rFonts w:hint="eastAsia" w:ascii="宋体" w:hAnsi="宋体" w:eastAsia="宋体" w:cs="宋体"/>
          <w:color w:val="auto"/>
          <w:szCs w:val="21"/>
        </w:rPr>
        <w:t>3、供热及制冷为</w:t>
      </w:r>
      <w:r>
        <w:rPr>
          <w:rFonts w:hint="eastAsia" w:ascii="宋体" w:hAnsi="宋体" w:eastAsia="宋体" w:cs="宋体"/>
          <w:color w:val="auto"/>
          <w:szCs w:val="21"/>
        </w:rPr>
        <w:tab/>
      </w:r>
      <w:r>
        <w:rPr>
          <w:rFonts w:hint="eastAsia" w:ascii="宋体" w:hAnsi="宋体" w:eastAsia="宋体" w:cs="宋体"/>
          <w:color w:val="auto"/>
          <w:szCs w:val="21"/>
          <w:u w:val="single"/>
        </w:rPr>
        <w:t>2</w:t>
      </w:r>
      <w:r>
        <w:rPr>
          <w:rFonts w:hint="eastAsia" w:ascii="宋体" w:hAnsi="宋体" w:eastAsia="宋体" w:cs="宋体"/>
          <w:color w:val="auto"/>
          <w:szCs w:val="21"/>
          <w:u w:val="single"/>
        </w:rPr>
        <w:tab/>
      </w:r>
      <w:r>
        <w:rPr>
          <w:rFonts w:hint="eastAsia" w:ascii="宋体" w:hAnsi="宋体" w:eastAsia="宋体" w:cs="宋体"/>
          <w:color w:val="auto"/>
          <w:szCs w:val="21"/>
        </w:rPr>
        <w:t>个采暖期及制冷期；</w:t>
      </w:r>
    </w:p>
    <w:p w14:paraId="712A0804">
      <w:pPr>
        <w:spacing w:line="340" w:lineRule="exact"/>
        <w:ind w:firstLine="420" w:firstLineChars="200"/>
        <w:rPr>
          <w:rFonts w:ascii="宋体" w:hAnsi="宋体" w:eastAsia="宋体" w:cs="宋体"/>
          <w:color w:val="auto"/>
          <w:szCs w:val="21"/>
        </w:rPr>
      </w:pPr>
      <w:r>
        <w:rPr>
          <w:rFonts w:hint="eastAsia" w:ascii="宋体" w:hAnsi="宋体" w:eastAsia="宋体" w:cs="宋体"/>
          <w:color w:val="auto"/>
          <w:szCs w:val="21"/>
        </w:rPr>
        <w:t>4、室外的上下水和小区道路等市政公用工程为</w:t>
      </w:r>
      <w:r>
        <w:rPr>
          <w:rFonts w:hint="eastAsia" w:ascii="宋体" w:hAnsi="宋体" w:eastAsia="宋体" w:cs="宋体"/>
          <w:color w:val="auto"/>
          <w:szCs w:val="21"/>
          <w:u w:val="single"/>
        </w:rPr>
        <w:tab/>
      </w:r>
      <w:r>
        <w:rPr>
          <w:rFonts w:hint="eastAsia" w:ascii="宋体" w:hAnsi="宋体" w:eastAsia="宋体" w:cs="宋体"/>
          <w:color w:val="auto"/>
          <w:szCs w:val="21"/>
          <w:u w:val="single"/>
        </w:rPr>
        <w:t>2</w:t>
      </w:r>
      <w:r>
        <w:rPr>
          <w:rFonts w:hint="eastAsia" w:ascii="宋体" w:hAnsi="宋体" w:eastAsia="宋体" w:cs="宋体"/>
          <w:color w:val="auto"/>
          <w:szCs w:val="21"/>
          <w:u w:val="single"/>
        </w:rPr>
        <w:tab/>
      </w:r>
      <w:r>
        <w:rPr>
          <w:rFonts w:hint="eastAsia" w:ascii="宋体" w:hAnsi="宋体" w:eastAsia="宋体" w:cs="宋体"/>
          <w:color w:val="auto"/>
          <w:szCs w:val="21"/>
        </w:rPr>
        <w:t>年；</w:t>
      </w:r>
    </w:p>
    <w:p w14:paraId="3F67599C">
      <w:pPr>
        <w:spacing w:line="340" w:lineRule="exact"/>
        <w:ind w:firstLine="420" w:firstLineChars="200"/>
        <w:rPr>
          <w:rFonts w:ascii="宋体" w:hAnsi="宋体" w:eastAsia="宋体" w:cs="宋体"/>
          <w:color w:val="auto"/>
          <w:szCs w:val="21"/>
        </w:rPr>
      </w:pPr>
      <w:r>
        <w:rPr>
          <w:rFonts w:hint="eastAsia" w:ascii="宋体" w:hAnsi="宋体" w:eastAsia="宋体" w:cs="宋体"/>
          <w:color w:val="auto"/>
          <w:szCs w:val="21"/>
        </w:rPr>
        <w:t>5、其他约定：本工程质量保修期</w:t>
      </w:r>
      <w:r>
        <w:rPr>
          <w:rFonts w:hint="eastAsia" w:ascii="宋体" w:hAnsi="宋体" w:eastAsia="宋体" w:cs="宋体"/>
          <w:color w:val="auto"/>
          <w:szCs w:val="21"/>
          <w:u w:val="single"/>
        </w:rPr>
        <w:t>2</w:t>
      </w:r>
      <w:r>
        <w:rPr>
          <w:rFonts w:hint="eastAsia" w:ascii="宋体" w:hAnsi="宋体" w:eastAsia="宋体" w:cs="宋体"/>
          <w:b w:val="0"/>
          <w:bCs w:val="0"/>
          <w:color w:val="auto"/>
          <w:szCs w:val="21"/>
        </w:rPr>
        <w:t>年。</w:t>
      </w:r>
      <w:r>
        <w:rPr>
          <w:rFonts w:hint="eastAsia" w:ascii="宋体" w:hAnsi="宋体" w:eastAsia="宋体" w:cs="宋体"/>
          <w:b/>
          <w:bCs/>
          <w:color w:val="auto"/>
          <w:szCs w:val="21"/>
        </w:rPr>
        <w:t xml:space="preserve">       </w:t>
      </w:r>
      <w:r>
        <w:rPr>
          <w:rFonts w:hint="eastAsia" w:ascii="宋体" w:hAnsi="宋体" w:eastAsia="宋体" w:cs="宋体"/>
          <w:color w:val="auto"/>
          <w:szCs w:val="21"/>
        </w:rPr>
        <w:t xml:space="preserve">                                       </w:t>
      </w:r>
    </w:p>
    <w:p w14:paraId="7CC1F443">
      <w:pPr>
        <w:spacing w:line="340" w:lineRule="exact"/>
        <w:rPr>
          <w:rFonts w:ascii="宋体" w:hAnsi="宋体" w:eastAsia="宋体" w:cs="宋体"/>
          <w:color w:val="auto"/>
          <w:szCs w:val="21"/>
        </w:rPr>
      </w:pPr>
      <w:r>
        <w:rPr>
          <w:rFonts w:hint="eastAsia" w:ascii="宋体" w:hAnsi="宋体" w:eastAsia="宋体" w:cs="宋体"/>
          <w:color w:val="auto"/>
          <w:szCs w:val="21"/>
        </w:rPr>
        <w:t xml:space="preserve">  三、质量保修责任</w:t>
      </w:r>
    </w:p>
    <w:p w14:paraId="01DE1944">
      <w:pPr>
        <w:spacing w:line="340" w:lineRule="exact"/>
        <w:rPr>
          <w:rFonts w:ascii="宋体" w:hAnsi="宋体" w:eastAsia="宋体" w:cs="宋体"/>
          <w:color w:val="auto"/>
          <w:szCs w:val="21"/>
        </w:rPr>
      </w:pPr>
      <w:r>
        <w:rPr>
          <w:rFonts w:hint="eastAsia" w:ascii="宋体" w:hAnsi="宋体" w:eastAsia="宋体" w:cs="宋体"/>
          <w:color w:val="auto"/>
          <w:szCs w:val="21"/>
        </w:rPr>
        <w:t xml:space="preserve">    l、属于保修范围和内容的项目，乙方应在接到修理通知之日后7天内派人修理。乙方不在约定期限内派人修理，甲方可委托其他人员修理，保修费用从质量保修金内扣除。</w:t>
      </w:r>
    </w:p>
    <w:p w14:paraId="619B216B">
      <w:pPr>
        <w:spacing w:line="340" w:lineRule="exact"/>
        <w:rPr>
          <w:rFonts w:ascii="宋体" w:hAnsi="宋体" w:eastAsia="宋体" w:cs="宋体"/>
          <w:color w:val="auto"/>
          <w:szCs w:val="21"/>
        </w:rPr>
      </w:pPr>
      <w:r>
        <w:rPr>
          <w:rFonts w:hint="eastAsia" w:ascii="宋体" w:hAnsi="宋体" w:eastAsia="宋体" w:cs="宋体"/>
          <w:color w:val="auto"/>
          <w:szCs w:val="21"/>
        </w:rPr>
        <w:t xml:space="preserve">    2、发生须紧急抢修事故，乙方接到事故通知后，应立即到达事故现场抢修。非乙方施工质量引起的事故，抢修费用由甲方承担。</w:t>
      </w:r>
    </w:p>
    <w:p w14:paraId="075E0C71">
      <w:pPr>
        <w:spacing w:line="340" w:lineRule="exact"/>
        <w:rPr>
          <w:rFonts w:ascii="宋体" w:hAnsi="宋体" w:eastAsia="宋体" w:cs="宋体"/>
          <w:color w:val="auto"/>
          <w:szCs w:val="21"/>
        </w:rPr>
      </w:pPr>
      <w:r>
        <w:rPr>
          <w:rFonts w:hint="eastAsia" w:ascii="宋体" w:hAnsi="宋体" w:eastAsia="宋体" w:cs="宋体"/>
          <w:color w:val="auto"/>
          <w:szCs w:val="21"/>
        </w:rPr>
        <w:t xml:space="preserve">    3、在国家规定的工程合理使用期限内，乙方确保工程的质量。因乙方原因致使工程在合理使用期限内造成人身和财产损害的，乙方应承担损失赔偿责任。</w:t>
      </w:r>
    </w:p>
    <w:p w14:paraId="275882AF">
      <w:pPr>
        <w:spacing w:line="340" w:lineRule="exact"/>
        <w:rPr>
          <w:rFonts w:ascii="宋体" w:hAnsi="宋体" w:eastAsia="宋体" w:cs="宋体"/>
          <w:color w:val="auto"/>
          <w:szCs w:val="21"/>
        </w:rPr>
      </w:pPr>
      <w:r>
        <w:rPr>
          <w:rFonts w:hint="eastAsia" w:ascii="宋体" w:hAnsi="宋体" w:eastAsia="宋体" w:cs="宋体"/>
          <w:color w:val="auto"/>
          <w:szCs w:val="21"/>
        </w:rPr>
        <w:t xml:space="preserve">    四、质量保修金的支付</w:t>
      </w:r>
    </w:p>
    <w:p w14:paraId="792D98D1">
      <w:pPr>
        <w:spacing w:line="340" w:lineRule="exact"/>
        <w:rPr>
          <w:rFonts w:ascii="宋体" w:hAnsi="宋体" w:eastAsia="宋体" w:cs="宋体"/>
          <w:color w:val="auto"/>
          <w:szCs w:val="21"/>
        </w:rPr>
      </w:pPr>
      <w:r>
        <w:rPr>
          <w:rFonts w:hint="eastAsia" w:ascii="宋体" w:hAnsi="宋体" w:eastAsia="宋体" w:cs="宋体"/>
          <w:color w:val="auto"/>
          <w:szCs w:val="21"/>
        </w:rPr>
        <w:t xml:space="preserve">    本工程约定的工程质量保修金为</w:t>
      </w:r>
      <w:r>
        <w:rPr>
          <w:rFonts w:hint="eastAsia" w:ascii="宋体" w:hAnsi="宋体" w:eastAsia="宋体" w:cs="宋体"/>
          <w:color w:val="auto"/>
          <w:szCs w:val="21"/>
          <w:lang w:eastAsia="zh-CN"/>
        </w:rPr>
        <w:t>审定</w:t>
      </w:r>
      <w:r>
        <w:rPr>
          <w:rFonts w:hint="eastAsia" w:ascii="宋体" w:hAnsi="宋体" w:eastAsia="宋体" w:cs="宋体"/>
          <w:color w:val="auto"/>
          <w:szCs w:val="21"/>
        </w:rPr>
        <w:t>价款的</w:t>
      </w:r>
      <w:r>
        <w:rPr>
          <w:rFonts w:hint="eastAsia" w:ascii="宋体" w:hAnsi="宋体" w:eastAsia="宋体" w:cs="宋体"/>
          <w:color w:val="auto"/>
          <w:szCs w:val="21"/>
          <w:u w:val="single"/>
        </w:rPr>
        <w:t xml:space="preserve">    3   </w:t>
      </w:r>
      <w:r>
        <w:rPr>
          <w:rFonts w:hint="eastAsia" w:ascii="宋体" w:hAnsi="宋体" w:eastAsia="宋体" w:cs="宋体"/>
          <w:color w:val="auto"/>
          <w:szCs w:val="21"/>
        </w:rPr>
        <w:t>％。</w:t>
      </w:r>
    </w:p>
    <w:p w14:paraId="72AF0339">
      <w:pPr>
        <w:spacing w:line="340" w:lineRule="exact"/>
        <w:rPr>
          <w:rFonts w:ascii="宋体" w:hAnsi="宋体" w:eastAsia="宋体" w:cs="宋体"/>
          <w:color w:val="auto"/>
          <w:szCs w:val="21"/>
        </w:rPr>
      </w:pPr>
      <w:r>
        <w:rPr>
          <w:rFonts w:hint="eastAsia" w:ascii="宋体" w:hAnsi="宋体" w:eastAsia="宋体" w:cs="宋体"/>
          <w:color w:val="auto"/>
          <w:szCs w:val="21"/>
        </w:rPr>
        <w:t xml:space="preserve">    五、质量保修金的返还</w:t>
      </w:r>
      <w:r>
        <w:rPr>
          <w:rFonts w:hint="eastAsia" w:ascii="宋体" w:hAnsi="宋体" w:eastAsia="宋体" w:cs="宋体"/>
          <w:color w:val="auto"/>
          <w:szCs w:val="21"/>
          <w:u w:val="single"/>
        </w:rPr>
        <w:t>：</w:t>
      </w:r>
      <w:r>
        <w:rPr>
          <w:rFonts w:hint="eastAsia" w:ascii="宋体" w:hAnsi="宋体" w:eastAsia="宋体" w:cs="宋体"/>
          <w:b/>
          <w:bCs/>
          <w:color w:val="auto"/>
          <w:szCs w:val="21"/>
          <w:u w:val="single"/>
        </w:rPr>
        <w:t>保修期期满后不计息退还。</w:t>
      </w:r>
      <w:r>
        <w:rPr>
          <w:rFonts w:hint="eastAsia" w:ascii="宋体" w:hAnsi="宋体" w:eastAsia="宋体" w:cs="宋体"/>
          <w:color w:val="auto"/>
          <w:szCs w:val="21"/>
        </w:rPr>
        <w:t xml:space="preserve">   </w:t>
      </w:r>
    </w:p>
    <w:p w14:paraId="7DC0C86A">
      <w:pPr>
        <w:spacing w:line="340" w:lineRule="exact"/>
        <w:rPr>
          <w:rFonts w:ascii="宋体" w:hAnsi="宋体" w:eastAsia="宋体" w:cs="宋体"/>
          <w:color w:val="auto"/>
          <w:szCs w:val="21"/>
        </w:rPr>
      </w:pPr>
      <w:r>
        <w:rPr>
          <w:rFonts w:hint="eastAsia" w:ascii="宋体" w:hAnsi="宋体" w:eastAsia="宋体" w:cs="宋体"/>
          <w:color w:val="auto"/>
          <w:szCs w:val="21"/>
        </w:rPr>
        <w:t xml:space="preserve">    六、其他</w:t>
      </w:r>
    </w:p>
    <w:p w14:paraId="1462D750">
      <w:pPr>
        <w:spacing w:line="340" w:lineRule="exact"/>
        <w:rPr>
          <w:rFonts w:ascii="宋体" w:hAnsi="宋体" w:eastAsia="宋体" w:cs="宋体"/>
          <w:color w:val="auto"/>
          <w:szCs w:val="21"/>
          <w:u w:val="single"/>
        </w:rPr>
      </w:pPr>
      <w:r>
        <w:rPr>
          <w:rFonts w:hint="eastAsia" w:ascii="宋体" w:hAnsi="宋体" w:eastAsia="宋体" w:cs="宋体"/>
          <w:color w:val="auto"/>
          <w:szCs w:val="21"/>
        </w:rPr>
        <w:t xml:space="preserve">    双方约定的其他工程质量保修事项：</w:t>
      </w:r>
      <w:r>
        <w:rPr>
          <w:rFonts w:hint="eastAsia" w:ascii="宋体" w:hAnsi="宋体" w:eastAsia="宋体" w:cs="宋体"/>
          <w:color w:val="auto"/>
          <w:szCs w:val="21"/>
          <w:u w:val="single"/>
        </w:rPr>
        <w:t xml:space="preserve">              /               </w:t>
      </w:r>
    </w:p>
    <w:p w14:paraId="4DA692B5">
      <w:pPr>
        <w:spacing w:line="340" w:lineRule="exact"/>
        <w:ind w:firstLine="570"/>
        <w:rPr>
          <w:rFonts w:ascii="宋体" w:hAnsi="宋体" w:eastAsia="宋体" w:cs="宋体"/>
          <w:color w:val="auto"/>
          <w:szCs w:val="21"/>
        </w:rPr>
      </w:pPr>
      <w:r>
        <w:rPr>
          <w:rFonts w:hint="eastAsia" w:ascii="宋体" w:hAnsi="宋体" w:eastAsia="宋体" w:cs="宋体"/>
          <w:color w:val="auto"/>
          <w:szCs w:val="21"/>
        </w:rPr>
        <w:t>本工程质量保修书作为施工合同附件．与施工合同具有同等效力。</w:t>
      </w:r>
    </w:p>
    <w:p w14:paraId="6BDAD1D7">
      <w:pPr>
        <w:spacing w:line="340" w:lineRule="exact"/>
        <w:ind w:right="340"/>
        <w:rPr>
          <w:rFonts w:ascii="宋体" w:hAnsi="宋体" w:eastAsia="宋体" w:cs="宋体"/>
          <w:b/>
          <w:bCs/>
          <w:color w:val="auto"/>
          <w:szCs w:val="21"/>
        </w:rPr>
      </w:pPr>
      <w:r>
        <w:rPr>
          <w:rFonts w:hint="eastAsia" w:ascii="宋体" w:hAnsi="宋体" w:eastAsia="宋体" w:cs="宋体"/>
          <w:b/>
          <w:bCs/>
          <w:color w:val="auto"/>
          <w:szCs w:val="21"/>
        </w:rPr>
        <w:t xml:space="preserve">         </w:t>
      </w:r>
    </w:p>
    <w:p w14:paraId="56E36B22">
      <w:pPr>
        <w:spacing w:line="340" w:lineRule="exact"/>
        <w:ind w:right="340" w:firstLine="840" w:firstLineChars="400"/>
        <w:rPr>
          <w:rFonts w:ascii="宋体" w:hAnsi="宋体" w:eastAsia="宋体" w:cs="宋体"/>
          <w:color w:val="auto"/>
          <w:szCs w:val="21"/>
        </w:rPr>
      </w:pPr>
      <w:r>
        <w:rPr>
          <w:rFonts w:hint="eastAsia" w:ascii="宋体" w:hAnsi="宋体" w:eastAsia="宋体" w:cs="宋体"/>
          <w:color w:val="auto"/>
          <w:szCs w:val="21"/>
        </w:rPr>
        <w:t>甲       方（公章)：            乙      方(公章)：</w:t>
      </w:r>
    </w:p>
    <w:p w14:paraId="54A90F3A">
      <w:pPr>
        <w:adjustRightInd w:val="0"/>
        <w:snapToGrid w:val="0"/>
        <w:spacing w:line="340" w:lineRule="exact"/>
        <w:ind w:firstLine="840" w:firstLineChars="400"/>
        <w:rPr>
          <w:rFonts w:ascii="宋体" w:hAnsi="宋体" w:eastAsia="宋体" w:cs="宋体"/>
          <w:color w:val="auto"/>
          <w:szCs w:val="21"/>
        </w:rPr>
      </w:pPr>
      <w:r>
        <w:rPr>
          <w:rFonts w:hint="eastAsia" w:ascii="宋体" w:hAnsi="宋体" w:eastAsia="宋体" w:cs="宋体"/>
          <w:color w:val="auto"/>
          <w:szCs w:val="21"/>
        </w:rPr>
        <w:t>法定代表人(签字)：              法定代表人(签字)：</w:t>
      </w:r>
    </w:p>
    <w:p w14:paraId="7147268B">
      <w:pPr>
        <w:adjustRightInd w:val="0"/>
        <w:snapToGrid w:val="0"/>
        <w:spacing w:line="340" w:lineRule="exact"/>
        <w:ind w:firstLine="840" w:firstLineChars="400"/>
        <w:rPr>
          <w:rFonts w:ascii="宋体" w:hAnsi="宋体" w:eastAsia="宋体" w:cs="宋体"/>
          <w:color w:val="auto"/>
          <w:szCs w:val="21"/>
        </w:rPr>
      </w:pPr>
      <w:r>
        <w:rPr>
          <w:rFonts w:hint="eastAsia" w:ascii="宋体" w:hAnsi="宋体" w:eastAsia="宋体" w:cs="宋体"/>
          <w:color w:val="auto"/>
          <w:szCs w:val="21"/>
        </w:rPr>
        <w:t>年    月     日                  年    月    日</w:t>
      </w:r>
    </w:p>
    <w:p w14:paraId="4A6745EA">
      <w:pPr>
        <w:adjustRightInd w:val="0"/>
        <w:snapToGrid w:val="0"/>
        <w:spacing w:line="340" w:lineRule="exact"/>
        <w:ind w:firstLine="903" w:firstLineChars="430"/>
        <w:rPr>
          <w:rFonts w:ascii="宋体" w:hAnsi="宋体" w:eastAsia="宋体" w:cs="宋体"/>
          <w:color w:val="auto"/>
          <w:szCs w:val="21"/>
        </w:rPr>
      </w:pPr>
      <w:r>
        <w:rPr>
          <w:rFonts w:hint="eastAsia" w:ascii="宋体" w:hAnsi="宋体" w:eastAsia="宋体" w:cs="宋体"/>
          <w:color w:val="auto"/>
          <w:szCs w:val="21"/>
        </w:rPr>
        <w:t xml:space="preserve">                      </w:t>
      </w:r>
    </w:p>
    <w:p w14:paraId="1DB32B16">
      <w:pPr>
        <w:adjustRightInd w:val="0"/>
        <w:snapToGrid w:val="0"/>
        <w:spacing w:line="340" w:lineRule="exact"/>
        <w:ind w:firstLine="903" w:firstLineChars="430"/>
        <w:rPr>
          <w:rFonts w:ascii="宋体" w:hAnsi="宋体" w:eastAsia="宋体" w:cs="宋体"/>
          <w:color w:val="auto"/>
          <w:szCs w:val="21"/>
        </w:rPr>
      </w:pPr>
    </w:p>
    <w:p w14:paraId="136EF726">
      <w:pPr>
        <w:adjustRightInd w:val="0"/>
        <w:snapToGrid w:val="0"/>
        <w:spacing w:line="340" w:lineRule="exact"/>
        <w:ind w:firstLine="903" w:firstLineChars="430"/>
        <w:rPr>
          <w:rFonts w:ascii="宋体" w:hAnsi="宋体" w:eastAsia="宋体" w:cs="宋体"/>
          <w:color w:val="auto"/>
          <w:szCs w:val="21"/>
        </w:rPr>
      </w:pPr>
    </w:p>
    <w:p w14:paraId="38CB0DA5">
      <w:pPr>
        <w:adjustRightInd w:val="0"/>
        <w:snapToGrid w:val="0"/>
        <w:spacing w:line="340" w:lineRule="exact"/>
        <w:ind w:firstLine="903" w:firstLineChars="430"/>
        <w:rPr>
          <w:rFonts w:ascii="宋体" w:hAnsi="宋体" w:eastAsia="宋体" w:cs="宋体"/>
          <w:color w:val="auto"/>
          <w:szCs w:val="21"/>
        </w:rPr>
      </w:pPr>
    </w:p>
    <w:p w14:paraId="794FBBB1">
      <w:pPr>
        <w:adjustRightInd w:val="0"/>
        <w:snapToGrid w:val="0"/>
        <w:spacing w:line="340" w:lineRule="exact"/>
        <w:jc w:val="center"/>
        <w:rPr>
          <w:rFonts w:ascii="宋体" w:hAnsi="宋体" w:eastAsia="宋体" w:cs="宋体"/>
          <w:b/>
          <w:bCs/>
          <w:color w:val="auto"/>
          <w:szCs w:val="21"/>
        </w:rPr>
      </w:pPr>
      <w:r>
        <w:rPr>
          <w:rFonts w:hint="eastAsia" w:ascii="宋体" w:hAnsi="宋体" w:eastAsia="宋体" w:cs="宋体"/>
          <w:b/>
          <w:bCs/>
          <w:color w:val="auto"/>
          <w:szCs w:val="21"/>
        </w:rPr>
        <w:br w:type="page"/>
      </w:r>
      <w:r>
        <w:rPr>
          <w:rFonts w:hint="eastAsia" w:ascii="宋体" w:hAnsi="宋体" w:eastAsia="宋体" w:cs="宋体"/>
          <w:b/>
          <w:bCs/>
          <w:color w:val="auto"/>
          <w:sz w:val="28"/>
          <w:szCs w:val="28"/>
        </w:rPr>
        <w:t>安全生产目标责任书</w:t>
      </w:r>
    </w:p>
    <w:p w14:paraId="635D2E18">
      <w:pPr>
        <w:ind w:firstLine="1784"/>
        <w:outlineLvl w:val="9"/>
        <w:rPr>
          <w:rFonts w:ascii="Calibri" w:hAnsi="Calibri" w:eastAsia="宋体" w:cs="宋体"/>
          <w:color w:val="auto"/>
          <w:sz w:val="21"/>
          <w:szCs w:val="21"/>
        </w:rPr>
      </w:pPr>
    </w:p>
    <w:p w14:paraId="701F30D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14:paraId="0EBDA4EE">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安全生产目标：</w:t>
      </w:r>
    </w:p>
    <w:p w14:paraId="0E12CCE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轻伤事故率控制在千分之五以下；</w:t>
      </w:r>
    </w:p>
    <w:p w14:paraId="13439C34">
      <w:pPr>
        <w:spacing w:line="360" w:lineRule="auto"/>
        <w:ind w:firstLine="555"/>
        <w:rPr>
          <w:rFonts w:ascii="宋体" w:hAnsi="宋体" w:eastAsia="宋体" w:cs="宋体"/>
          <w:color w:val="auto"/>
          <w:szCs w:val="21"/>
        </w:rPr>
      </w:pPr>
      <w:r>
        <w:rPr>
          <w:rFonts w:hint="eastAsia" w:ascii="宋体" w:hAnsi="宋体" w:eastAsia="宋体" w:cs="宋体"/>
          <w:color w:val="auto"/>
          <w:szCs w:val="21"/>
        </w:rPr>
        <w:t>重伤和死亡事故起数：0起；</w:t>
      </w:r>
    </w:p>
    <w:p w14:paraId="5E9EF038">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火灾事故起数：0起；</w:t>
      </w:r>
    </w:p>
    <w:p w14:paraId="7F79B9A2">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爆炸事故起数：0起；</w:t>
      </w:r>
    </w:p>
    <w:p w14:paraId="52482A1E">
      <w:pPr>
        <w:spacing w:line="360" w:lineRule="auto"/>
        <w:ind w:firstLine="555"/>
        <w:rPr>
          <w:rFonts w:ascii="宋体" w:hAnsi="宋体" w:eastAsia="宋体" w:cs="宋体"/>
          <w:color w:val="auto"/>
          <w:szCs w:val="21"/>
        </w:rPr>
      </w:pPr>
      <w:r>
        <w:rPr>
          <w:rFonts w:hint="eastAsia" w:ascii="宋体" w:hAnsi="宋体" w:eastAsia="宋体" w:cs="宋体"/>
          <w:color w:val="auto"/>
          <w:szCs w:val="21"/>
        </w:rPr>
        <w:t>高空坠落事故起数：0起；</w:t>
      </w:r>
    </w:p>
    <w:p w14:paraId="0325807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坍塌事故事故起数：0起；</w:t>
      </w:r>
    </w:p>
    <w:p w14:paraId="09E67CC8">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机械伤害事故起数：0起；</w:t>
      </w:r>
    </w:p>
    <w:p w14:paraId="32954419">
      <w:pPr>
        <w:spacing w:line="360" w:lineRule="auto"/>
        <w:ind w:firstLine="555"/>
        <w:rPr>
          <w:rFonts w:ascii="宋体" w:hAnsi="宋体" w:eastAsia="宋体" w:cs="宋体"/>
          <w:color w:val="auto"/>
          <w:szCs w:val="21"/>
        </w:rPr>
      </w:pPr>
      <w:r>
        <w:rPr>
          <w:rFonts w:hint="eastAsia" w:ascii="宋体" w:hAnsi="宋体" w:eastAsia="宋体" w:cs="宋体"/>
          <w:color w:val="auto"/>
          <w:szCs w:val="21"/>
        </w:rPr>
        <w:t>触电事故事故起数：0起；</w:t>
      </w:r>
    </w:p>
    <w:p w14:paraId="669B44FF">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物体打击事故起数：0起；</w:t>
      </w:r>
    </w:p>
    <w:p w14:paraId="01418BA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中毒和窒息起数：0起；</w:t>
      </w:r>
    </w:p>
    <w:p w14:paraId="723A7E7F">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灼烫事故起数：0起；</w:t>
      </w:r>
    </w:p>
    <w:p w14:paraId="77C0068C">
      <w:pPr>
        <w:spacing w:line="360" w:lineRule="auto"/>
        <w:ind w:firstLine="555"/>
        <w:rPr>
          <w:rFonts w:ascii="宋体" w:hAnsi="宋体" w:eastAsia="宋体" w:cs="宋体"/>
          <w:color w:val="auto"/>
          <w:szCs w:val="21"/>
        </w:rPr>
      </w:pPr>
      <w:r>
        <w:rPr>
          <w:rFonts w:hint="eastAsia" w:ascii="宋体" w:hAnsi="宋体" w:eastAsia="宋体" w:cs="宋体"/>
          <w:color w:val="auto"/>
          <w:szCs w:val="21"/>
        </w:rPr>
        <w:t>车辆伤害事故起数：0起；</w:t>
      </w:r>
    </w:p>
    <w:p w14:paraId="26D280F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起重伤害事故起数：0起；</w:t>
      </w:r>
    </w:p>
    <w:p w14:paraId="5D7CB763">
      <w:pPr>
        <w:spacing w:line="360" w:lineRule="auto"/>
        <w:ind w:firstLine="555"/>
        <w:rPr>
          <w:rFonts w:ascii="宋体" w:hAnsi="宋体" w:eastAsia="宋体" w:cs="宋体"/>
          <w:b/>
          <w:color w:val="auto"/>
          <w:szCs w:val="21"/>
        </w:rPr>
      </w:pPr>
      <w:r>
        <w:rPr>
          <w:rFonts w:hint="eastAsia" w:ascii="宋体" w:hAnsi="宋体" w:eastAsia="宋体" w:cs="宋体"/>
          <w:b/>
          <w:color w:val="auto"/>
          <w:szCs w:val="21"/>
        </w:rPr>
        <w:t>文明施工：</w:t>
      </w:r>
      <w:r>
        <w:rPr>
          <w:rFonts w:hint="eastAsia" w:ascii="宋体" w:hAnsi="宋体" w:eastAsia="宋体" w:cs="宋体"/>
          <w:b/>
          <w:bCs/>
          <w:color w:val="auto"/>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14:paraId="3238053E">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安全措施：</w:t>
      </w:r>
    </w:p>
    <w:p w14:paraId="483BD6DA">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力行“谁主管、谁负责”的原则，根据我公司程序文件的要求，要层层签订责任书，形成一个“人人关心安全、事事注意安全、千方百计保证安全”的新局面。</w:t>
      </w:r>
    </w:p>
    <w:p w14:paraId="0706B265">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坚持安全生产例会制度，每月各负责人至少召开一次安全生产会，做到会前有准备，会议有针对性、有记录。</w:t>
      </w:r>
    </w:p>
    <w:p w14:paraId="3960AC9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认真落实各级负责领导及安全管理人员的培训工作和特工种培训工作。加强下属施工队伍的进场教育和班前教育。</w:t>
      </w:r>
    </w:p>
    <w:p w14:paraId="7C3C98B8">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加大安全检查力度，在完成上级部门和学校统一部署的检查任务的同时，要有计划的、有针对性的进行自身的安全生产动态检查与整改。</w:t>
      </w:r>
    </w:p>
    <w:p w14:paraId="11E0BA4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建立施工现场安全管理体系，按规定配备专职的安全管理人员，特工种必须持证上岗。</w:t>
      </w:r>
    </w:p>
    <w:p w14:paraId="14FD5B1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逐步加大安全生产的资金投入，规范配电设施，安全防护用具的使用以及新老设备的更新换代工作。</w:t>
      </w:r>
    </w:p>
    <w:p w14:paraId="3151B00F">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依据市政府、市建委文明施工的达标要求，切实做好现场的文明施工具体工作，真正达到蓝天工程文明施工工地。</w:t>
      </w:r>
    </w:p>
    <w:p w14:paraId="7E781270">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各负责人要尽职尽责履行安全生产义务，承担安全生产责任。</w:t>
      </w:r>
    </w:p>
    <w:p w14:paraId="393A7DA2">
      <w:pPr>
        <w:spacing w:line="360" w:lineRule="auto"/>
        <w:ind w:firstLine="555"/>
        <w:rPr>
          <w:rFonts w:ascii="宋体" w:hAnsi="宋体" w:eastAsia="宋体" w:cs="宋体"/>
          <w:color w:val="auto"/>
          <w:szCs w:val="21"/>
        </w:rPr>
      </w:pPr>
    </w:p>
    <w:p w14:paraId="5FA0CF60">
      <w:pPr>
        <w:spacing w:line="360" w:lineRule="auto"/>
        <w:ind w:firstLine="555"/>
        <w:rPr>
          <w:rFonts w:ascii="宋体" w:hAnsi="宋体" w:eastAsia="宋体" w:cs="宋体"/>
          <w:color w:val="auto"/>
          <w:szCs w:val="21"/>
        </w:rPr>
      </w:pPr>
    </w:p>
    <w:p w14:paraId="259A698E">
      <w:pPr>
        <w:spacing w:line="360" w:lineRule="auto"/>
        <w:ind w:firstLine="3150" w:firstLineChars="1500"/>
        <w:rPr>
          <w:rFonts w:ascii="宋体" w:hAnsi="宋体" w:eastAsia="宋体" w:cs="宋体"/>
          <w:color w:val="auto"/>
          <w:szCs w:val="21"/>
        </w:rPr>
      </w:pPr>
      <w:r>
        <w:rPr>
          <w:rFonts w:hint="eastAsia" w:ascii="宋体" w:hAnsi="宋体" w:eastAsia="宋体" w:cs="宋体"/>
          <w:color w:val="auto"/>
          <w:szCs w:val="21"/>
        </w:rPr>
        <w:t xml:space="preserve">　              责任单位： </w:t>
      </w:r>
    </w:p>
    <w:p w14:paraId="3A1C8D65">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责任人：　</w:t>
      </w:r>
    </w:p>
    <w:p w14:paraId="72BFE5E0">
      <w:pPr>
        <w:spacing w:line="360" w:lineRule="auto"/>
        <w:ind w:firstLine="4830" w:firstLineChars="2300"/>
        <w:rPr>
          <w:rFonts w:ascii="宋体" w:hAnsi="宋体" w:eastAsia="宋体" w:cs="宋体"/>
          <w:color w:val="auto"/>
          <w:szCs w:val="21"/>
        </w:rPr>
      </w:pPr>
      <w:r>
        <w:rPr>
          <w:rFonts w:hint="eastAsia" w:ascii="宋体" w:hAnsi="宋体" w:eastAsia="宋体" w:cs="宋体"/>
          <w:color w:val="auto"/>
          <w:szCs w:val="21"/>
        </w:rPr>
        <w:t>法定代表人或授权委托人（签字）：</w:t>
      </w:r>
    </w:p>
    <w:p w14:paraId="63F203D8">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                                         签订日期：     年     月   日</w:t>
      </w:r>
    </w:p>
    <w:p w14:paraId="2450F80E">
      <w:pPr>
        <w:spacing w:line="360" w:lineRule="auto"/>
        <w:ind w:firstLine="555"/>
        <w:rPr>
          <w:rFonts w:ascii="宋体" w:hAnsi="宋体" w:eastAsia="宋体" w:cs="宋体"/>
          <w:color w:val="auto"/>
          <w:szCs w:val="21"/>
        </w:rPr>
      </w:pPr>
    </w:p>
    <w:p w14:paraId="2563B20F">
      <w:pPr>
        <w:spacing w:line="360" w:lineRule="auto"/>
        <w:ind w:firstLine="555"/>
        <w:jc w:val="center"/>
        <w:rPr>
          <w:rFonts w:ascii="宋体" w:hAnsi="宋体" w:eastAsia="宋体" w:cs="宋体"/>
          <w:b/>
          <w:bCs/>
          <w:color w:val="auto"/>
          <w:szCs w:val="21"/>
        </w:rPr>
      </w:pPr>
    </w:p>
    <w:p w14:paraId="25F6B388">
      <w:pPr>
        <w:spacing w:line="360" w:lineRule="auto"/>
        <w:ind w:firstLine="555"/>
        <w:jc w:val="center"/>
        <w:rPr>
          <w:rFonts w:ascii="宋体" w:hAnsi="宋体" w:eastAsia="宋体" w:cs="宋体"/>
          <w:b/>
          <w:bCs/>
          <w:color w:val="auto"/>
          <w:szCs w:val="21"/>
        </w:rPr>
      </w:pPr>
    </w:p>
    <w:p w14:paraId="7571C924">
      <w:pPr>
        <w:spacing w:line="360" w:lineRule="auto"/>
        <w:ind w:firstLine="555"/>
        <w:jc w:val="center"/>
        <w:rPr>
          <w:rFonts w:ascii="宋体" w:hAnsi="宋体" w:eastAsia="宋体" w:cs="宋体"/>
          <w:b/>
          <w:bCs/>
          <w:color w:val="auto"/>
          <w:szCs w:val="21"/>
        </w:rPr>
      </w:pPr>
    </w:p>
    <w:p w14:paraId="0FBE024C">
      <w:pPr>
        <w:spacing w:line="360" w:lineRule="auto"/>
        <w:ind w:firstLine="555"/>
        <w:jc w:val="center"/>
        <w:rPr>
          <w:rFonts w:ascii="宋体" w:hAnsi="宋体" w:eastAsia="宋体" w:cs="宋体"/>
          <w:b/>
          <w:bCs/>
          <w:color w:val="auto"/>
          <w:szCs w:val="21"/>
        </w:rPr>
      </w:pPr>
    </w:p>
    <w:p w14:paraId="630606A2">
      <w:pPr>
        <w:spacing w:line="360" w:lineRule="auto"/>
        <w:ind w:firstLine="555"/>
        <w:jc w:val="center"/>
        <w:rPr>
          <w:rFonts w:ascii="宋体" w:hAnsi="宋体" w:eastAsia="宋体" w:cs="宋体"/>
          <w:b/>
          <w:bCs/>
          <w:color w:val="auto"/>
          <w:szCs w:val="21"/>
        </w:rPr>
      </w:pPr>
    </w:p>
    <w:p w14:paraId="7A03ECD5">
      <w:pPr>
        <w:spacing w:line="360" w:lineRule="auto"/>
        <w:ind w:firstLine="555"/>
        <w:jc w:val="center"/>
        <w:rPr>
          <w:rFonts w:ascii="宋体" w:hAnsi="宋体" w:eastAsia="宋体" w:cs="宋体"/>
          <w:b/>
          <w:bCs/>
          <w:color w:val="auto"/>
          <w:szCs w:val="21"/>
        </w:rPr>
      </w:pPr>
    </w:p>
    <w:p w14:paraId="6128D0C9">
      <w:pPr>
        <w:spacing w:line="360" w:lineRule="auto"/>
        <w:ind w:firstLine="555"/>
        <w:jc w:val="center"/>
        <w:rPr>
          <w:rFonts w:ascii="宋体" w:hAnsi="宋体" w:eastAsia="宋体" w:cs="宋体"/>
          <w:b/>
          <w:bCs/>
          <w:color w:val="auto"/>
          <w:szCs w:val="21"/>
        </w:rPr>
      </w:pPr>
    </w:p>
    <w:p w14:paraId="2758A48C">
      <w:pPr>
        <w:spacing w:line="360" w:lineRule="auto"/>
        <w:ind w:firstLine="555"/>
        <w:jc w:val="center"/>
        <w:rPr>
          <w:rFonts w:ascii="宋体" w:hAnsi="宋体" w:eastAsia="宋体" w:cs="宋体"/>
          <w:b/>
          <w:bCs/>
          <w:color w:val="auto"/>
          <w:szCs w:val="21"/>
        </w:rPr>
      </w:pPr>
    </w:p>
    <w:p w14:paraId="452C6708">
      <w:pPr>
        <w:spacing w:line="360" w:lineRule="auto"/>
        <w:ind w:firstLine="555"/>
        <w:jc w:val="center"/>
        <w:rPr>
          <w:rFonts w:ascii="宋体" w:hAnsi="宋体" w:eastAsia="宋体" w:cs="宋体"/>
          <w:b/>
          <w:bCs/>
          <w:color w:val="auto"/>
          <w:szCs w:val="21"/>
        </w:rPr>
      </w:pPr>
    </w:p>
    <w:p w14:paraId="1ED96CED">
      <w:pPr>
        <w:spacing w:line="360" w:lineRule="auto"/>
        <w:ind w:firstLine="555"/>
        <w:jc w:val="center"/>
        <w:rPr>
          <w:rFonts w:ascii="宋体" w:hAnsi="宋体" w:eastAsia="宋体" w:cs="宋体"/>
          <w:b/>
          <w:bCs/>
          <w:color w:val="auto"/>
          <w:szCs w:val="21"/>
        </w:rPr>
      </w:pPr>
    </w:p>
    <w:p w14:paraId="3E275BE5">
      <w:pPr>
        <w:spacing w:line="360" w:lineRule="auto"/>
        <w:ind w:firstLine="555"/>
        <w:jc w:val="center"/>
        <w:rPr>
          <w:rFonts w:ascii="宋体" w:hAnsi="宋体" w:eastAsia="宋体" w:cs="宋体"/>
          <w:b/>
          <w:bCs/>
          <w:color w:val="auto"/>
          <w:szCs w:val="21"/>
        </w:rPr>
      </w:pPr>
    </w:p>
    <w:p w14:paraId="13AEAD04">
      <w:pPr>
        <w:spacing w:line="360" w:lineRule="auto"/>
        <w:ind w:firstLine="555"/>
        <w:jc w:val="center"/>
        <w:rPr>
          <w:rFonts w:ascii="宋体" w:hAnsi="宋体" w:eastAsia="宋体" w:cs="宋体"/>
          <w:b/>
          <w:bCs/>
          <w:color w:val="auto"/>
          <w:szCs w:val="21"/>
        </w:rPr>
      </w:pPr>
    </w:p>
    <w:p w14:paraId="049E1CFB">
      <w:pPr>
        <w:spacing w:line="360" w:lineRule="auto"/>
        <w:ind w:firstLine="555"/>
        <w:jc w:val="center"/>
        <w:rPr>
          <w:rFonts w:ascii="宋体" w:hAnsi="宋体" w:eastAsia="宋体" w:cs="宋体"/>
          <w:b/>
          <w:bCs/>
          <w:color w:val="auto"/>
          <w:szCs w:val="21"/>
        </w:rPr>
      </w:pPr>
    </w:p>
    <w:p w14:paraId="5305B30E">
      <w:pPr>
        <w:spacing w:line="360" w:lineRule="auto"/>
        <w:ind w:firstLine="555"/>
        <w:jc w:val="center"/>
        <w:rPr>
          <w:rFonts w:ascii="宋体" w:hAnsi="宋体" w:eastAsia="宋体" w:cs="宋体"/>
          <w:b/>
          <w:bCs/>
          <w:color w:val="auto"/>
          <w:szCs w:val="21"/>
        </w:rPr>
      </w:pPr>
      <w:r>
        <w:rPr>
          <w:rFonts w:hint="eastAsia" w:ascii="宋体" w:hAnsi="宋体" w:eastAsia="宋体" w:cs="宋体"/>
          <w:b/>
          <w:bCs/>
          <w:color w:val="auto"/>
          <w:szCs w:val="21"/>
        </w:rPr>
        <w:br w:type="page"/>
      </w:r>
      <w:r>
        <w:rPr>
          <w:rFonts w:hint="eastAsia" w:ascii="宋体" w:hAnsi="宋体" w:eastAsia="宋体" w:cs="宋体"/>
          <w:b/>
          <w:bCs/>
          <w:color w:val="auto"/>
          <w:sz w:val="28"/>
          <w:szCs w:val="28"/>
        </w:rPr>
        <w:t>治安、消防承包协议书</w:t>
      </w:r>
    </w:p>
    <w:p w14:paraId="3A8EA08D">
      <w:pPr>
        <w:spacing w:line="360" w:lineRule="auto"/>
        <w:ind w:firstLine="555"/>
        <w:rPr>
          <w:rFonts w:ascii="宋体" w:hAnsi="宋体" w:eastAsia="宋体" w:cs="宋体"/>
          <w:color w:val="auto"/>
          <w:szCs w:val="21"/>
        </w:rPr>
      </w:pPr>
    </w:p>
    <w:p w14:paraId="6A29628D">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lang w:eastAsia="zh-CN"/>
        </w:rPr>
        <w:t>常州市金坛新城实验幼儿园</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1CB2966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p>
    <w:p w14:paraId="40BF0E3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一、承包工程项目</w:t>
      </w:r>
    </w:p>
    <w:p w14:paraId="38DA356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工程项目名称：</w:t>
      </w:r>
      <w:r>
        <w:rPr>
          <w:rFonts w:hint="eastAsia" w:ascii="宋体" w:hAnsi="宋体" w:eastAsia="宋体" w:cs="宋体"/>
          <w:color w:val="auto"/>
          <w:szCs w:val="21"/>
          <w:u w:val="single"/>
          <w:lang w:eastAsia="zh-CN"/>
        </w:rPr>
        <w:t>新城实验幼儿园暑期木质防护</w:t>
      </w:r>
      <w:r>
        <w:rPr>
          <w:rFonts w:hint="eastAsia" w:ascii="宋体" w:hAnsi="宋体" w:eastAsia="宋体" w:cs="宋体"/>
          <w:color w:val="auto"/>
          <w:szCs w:val="21"/>
        </w:rPr>
        <w:t xml:space="preserve">                                                              </w:t>
      </w:r>
    </w:p>
    <w:p w14:paraId="3112DF1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承包范围：工程量清单内所有内容                                                                   </w:t>
      </w:r>
    </w:p>
    <w:p w14:paraId="6D371827">
      <w:pPr>
        <w:spacing w:line="360" w:lineRule="auto"/>
        <w:ind w:firstLine="555"/>
        <w:outlineLvl w:val="9"/>
        <w:rPr>
          <w:rFonts w:ascii="宋体" w:hAnsi="宋体" w:eastAsia="宋体" w:cs="宋体"/>
          <w:color w:val="auto"/>
          <w:szCs w:val="21"/>
        </w:rPr>
      </w:pPr>
      <w:r>
        <w:rPr>
          <w:rFonts w:hint="eastAsia" w:ascii="宋体" w:hAnsi="宋体" w:eastAsia="宋体" w:cs="宋体"/>
          <w:color w:val="auto"/>
          <w:szCs w:val="21"/>
        </w:rPr>
        <w:t xml:space="preserve">承包方式：                                                                    </w:t>
      </w:r>
    </w:p>
    <w:p w14:paraId="65FF24D2">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二、工程项目期限</w:t>
      </w:r>
    </w:p>
    <w:p w14:paraId="250A2921">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满足甲方工程进度要求，根据国家法律、法规及常州市有关规定，进一步明确甲、乙双方的治安、消防责任，确保施工、经营安全，甲、乙双方在签订《工程承包合同》的同时，签订本协议，作为附件。</w:t>
      </w:r>
    </w:p>
    <w:p w14:paraId="684B6A9D">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经双方平等协商同意，自愿签订本协议书，共同遵守本协议所列条款。</w:t>
      </w:r>
    </w:p>
    <w:p w14:paraId="21B81F60">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三、甲、乙双方治安、消防的共同要求</w:t>
      </w:r>
    </w:p>
    <w:p w14:paraId="25D91704">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1．甲、乙双方认真贯彻执行《中华人民共和国消防法》、《建设工程施工现场消防安全技术规范(GB50720-2011)》等其他相关的法律法规，坚持执行“预防为主、防消结合”的方针。</w:t>
      </w:r>
    </w:p>
    <w:p w14:paraId="2052156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2．甲、乙双方认真落实治安保卫责任制，消防安全责任制，建立健全治保、消防组织，做好本项目治安、防火管理工作，提高自管、自防、自治能力。</w:t>
      </w:r>
    </w:p>
    <w:p w14:paraId="49EF11D9">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14:paraId="7B2EA085">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4．甲、乙双方切实加强对职工的教育管理，做好法制教育工作，加强精神文明建设，增强职工的法制观念、道德观念和治安、防火安全意识，提高职工遵纪守法的自觉性。</w:t>
      </w:r>
    </w:p>
    <w:p w14:paraId="19A817FA">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5．甲、乙双方必须坚持“谁主管、谁负责”、“谁使用、谁负责”的原则，制定防火岗位责任制，乙方应明确一名分管领导负责施工队的消防安全工作。</w:t>
      </w:r>
    </w:p>
    <w:p w14:paraId="3155A2E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四、治安要求</w:t>
      </w:r>
    </w:p>
    <w:p w14:paraId="0F11279E">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1．乙方必须确定一人负责检验证件，收集照片，申报暂住证等工作，按规定做到三天内人来即报（报甲方所在地区派出所及甲方），人走即销，登记在册的人员与实际居住人员相符合。</w:t>
      </w:r>
    </w:p>
    <w:p w14:paraId="7672E9CF">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2．乙方必须杜绝无法提供有效身份证的人员为本单位职工，严禁擅自容留外来人员，做到有据可查，并与户口登记人员相一致；如甲方查处乙方人员与户口登记不符，由此造成的后果有乙方负责。</w:t>
      </w:r>
    </w:p>
    <w:p w14:paraId="65DD2002">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3．乙方定期对全体职工进行法制和治安防范宣传教育，并书面记录活动情况，增强职工遵纪守法的观念，预防和减少各类违法犯罪活动。</w:t>
      </w:r>
    </w:p>
    <w:p w14:paraId="1CB79CF1">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14:paraId="3233A96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5．凡乙方职工违法犯罪，除按国家有关法律、法规处理外，造成甲方经济失的，由乙方赔偿甲方的全部经济损失。</w:t>
      </w:r>
    </w:p>
    <w:p w14:paraId="5B13B8F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 乙方必须管理好自己的工人，不得酗酒闹事，打架斗殴，倒卖工地上的任何财物。</w:t>
      </w:r>
    </w:p>
    <w:p w14:paraId="25AB94D6">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五、消防要求</w:t>
      </w:r>
    </w:p>
    <w:p w14:paraId="7198C1A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1．甲方负责施工项目消防工作的全面领导及施工现场的消防器材的整体消防安全布置，根据施工现场环境制定消防安全施工方案和安全防范措施。</w:t>
      </w:r>
    </w:p>
    <w:p w14:paraId="27D48C0D">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2．甲方负责审查乙方的消防施工方案、消防应急预案及消防安全措施等，督促分包单位在施工过程中加以实施。</w:t>
      </w:r>
    </w:p>
    <w:p w14:paraId="180D4599">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14:paraId="39B77470">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4．甲方根据施工部位、环境因素，制定消防措施，负责办理分包单位动火审批手续。</w:t>
      </w:r>
    </w:p>
    <w:p w14:paraId="40B925E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5．乙方必须服从总包单位消防安全管理，严格执行总包单位各项消防安全管理制度。</w:t>
      </w:r>
    </w:p>
    <w:p w14:paraId="38F78736">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6．乙方负责本单位消防工作应与施工生产任务同计划、同检查，同布置，在安排生产任务的同时，要履行消防安全责任，落实消防安全措施。</w:t>
      </w:r>
    </w:p>
    <w:p w14:paraId="16610F42">
      <w:pPr>
        <w:spacing w:line="360" w:lineRule="auto"/>
        <w:ind w:firstLine="555"/>
        <w:rPr>
          <w:rFonts w:ascii="宋体" w:hAnsi="宋体" w:eastAsia="宋体" w:cs="宋体"/>
          <w:color w:val="auto"/>
          <w:szCs w:val="21"/>
        </w:rPr>
      </w:pPr>
      <w:r>
        <w:rPr>
          <w:rFonts w:hint="eastAsia" w:ascii="宋体" w:hAnsi="宋体" w:eastAsia="宋体" w:cs="宋体"/>
          <w:color w:val="auto"/>
          <w:szCs w:val="21"/>
        </w:rPr>
        <w:t>7．乙方应建立本单位消防领导小组及义务消防队，认真落实各项消防制度，并按规定向现场施工人员进行防火安全宣传教育，配备消防安全管理人员。</w:t>
      </w:r>
    </w:p>
    <w:p w14:paraId="101664AC">
      <w:pPr>
        <w:spacing w:line="360" w:lineRule="auto"/>
        <w:ind w:firstLine="555"/>
        <w:rPr>
          <w:rFonts w:ascii="宋体" w:hAnsi="宋体" w:eastAsia="宋体" w:cs="宋体"/>
          <w:color w:val="auto"/>
          <w:szCs w:val="21"/>
        </w:rPr>
      </w:pPr>
      <w:r>
        <w:rPr>
          <w:rFonts w:hint="eastAsia" w:ascii="宋体" w:hAnsi="宋体" w:eastAsia="宋体" w:cs="宋体"/>
          <w:color w:val="auto"/>
          <w:szCs w:val="21"/>
        </w:rPr>
        <w:t>8．乙方应定期对本单位施工环境进行检查，并落实整改措施，检查记录应报总包单位留存备案。</w:t>
      </w:r>
    </w:p>
    <w:p w14:paraId="23B6A71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9．乙方应经常开展多种形式的消防安全教育，每月定期组织本单位职工召开消防安全教育会议和特殊工种安全教育会议，并有培训记录。</w:t>
      </w:r>
    </w:p>
    <w:p w14:paraId="7C104A82">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10．乙方必须严格执行各类防火、防爆制度，易燃易爆场所严禁吸烟或动用明火，消防器材不准挪作他用，消防器材前严禁堆物，电焊、气割作业应按规定办理动火手续；严格遵守“十不烧”规定。</w:t>
      </w:r>
    </w:p>
    <w:p w14:paraId="445E2DD3">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11.乙方应在自己的施工区域内按照甲方的要求布置灭火器。</w:t>
      </w:r>
    </w:p>
    <w:p w14:paraId="30A0CCAD">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14:paraId="7448A4C0">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14:paraId="4331AB01">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14.施工现场严禁吸烟，木工棚及仓库严禁烟火，并严格执行各类防火、防毒、防冻、防爆措施，悬挂明显的防火安全标识，配备消防器材。</w:t>
      </w:r>
    </w:p>
    <w:p w14:paraId="19817265">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14:paraId="6657E138">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16.生活区内住宿的人员，必须遵守生活区、宿舍的消防管理规定，不准私自乱接乱拉电线和违章使用大功率电器，不得在床铺上吸烟。</w:t>
      </w:r>
    </w:p>
    <w:p w14:paraId="09BAA98E">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17.发生火灾事故时，立即组织人员进行抢救，并同时向总包单位报告，保护好现场，并配合事故调查。</w:t>
      </w:r>
    </w:p>
    <w:p w14:paraId="26746511">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六、本协议规定内容与上级规定相抵触之处，以上级规定为准。</w:t>
      </w:r>
    </w:p>
    <w:p w14:paraId="4299F477">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七、本协议未尽事宜，按上级有关规定执行。</w:t>
      </w:r>
    </w:p>
    <w:p w14:paraId="5897797C">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本协议书自签字之日起生效至工程完工终止。                                                                                                                             </w:t>
      </w:r>
    </w:p>
    <w:p w14:paraId="67258F5C">
      <w:pPr>
        <w:spacing w:line="360" w:lineRule="auto"/>
        <w:ind w:firstLine="555"/>
        <w:rPr>
          <w:rFonts w:ascii="宋体" w:hAnsi="宋体" w:eastAsia="宋体" w:cs="宋体"/>
          <w:color w:val="auto"/>
          <w:szCs w:val="21"/>
        </w:rPr>
      </w:pPr>
    </w:p>
    <w:p w14:paraId="66B460FB">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甲方：                                乙方：                    </w:t>
      </w:r>
    </w:p>
    <w:p w14:paraId="30DA5A86">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法定代表人：          （盖章）        法定代表人：         （盖章）</w:t>
      </w:r>
    </w:p>
    <w:p w14:paraId="5068A0CC">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年    月    日                        年    月    日</w:t>
      </w:r>
    </w:p>
    <w:p w14:paraId="78A305AA">
      <w:pPr>
        <w:spacing w:line="360" w:lineRule="auto"/>
        <w:ind w:firstLine="555"/>
        <w:rPr>
          <w:rFonts w:ascii="宋体" w:hAnsi="宋体" w:eastAsia="宋体" w:cs="Times New Roman"/>
          <w:color w:val="auto"/>
        </w:rPr>
      </w:pPr>
    </w:p>
    <w:p w14:paraId="5A2B800E">
      <w:pPr>
        <w:spacing w:line="360" w:lineRule="auto"/>
        <w:ind w:firstLine="420" w:firstLineChars="200"/>
        <w:rPr>
          <w:rFonts w:ascii="宋体" w:hAnsi="宋体" w:eastAsia="宋体" w:cs="宋体"/>
          <w:color w:val="auto"/>
          <w:szCs w:val="21"/>
        </w:rPr>
      </w:pPr>
    </w:p>
    <w:p w14:paraId="01D32996">
      <w:pPr>
        <w:tabs>
          <w:tab w:val="left" w:pos="0"/>
          <w:tab w:val="left" w:pos="993"/>
          <w:tab w:val="left" w:pos="1134"/>
        </w:tabs>
        <w:adjustRightInd w:val="0"/>
        <w:snapToGrid w:val="0"/>
        <w:spacing w:line="360" w:lineRule="auto"/>
        <w:jc w:val="center"/>
        <w:outlineLvl w:val="0"/>
        <w:rPr>
          <w:rFonts w:ascii="宋体" w:hAnsi="宋体" w:eastAsia="宋体" w:cs="宋体"/>
          <w:b/>
          <w:snapToGrid w:val="0"/>
          <w:color w:val="auto"/>
          <w:szCs w:val="21"/>
        </w:rPr>
      </w:pPr>
      <w:r>
        <w:rPr>
          <w:rFonts w:hint="eastAsia" w:ascii="宋体" w:hAnsi="宋体" w:eastAsia="宋体" w:cs="宋体"/>
          <w:b/>
          <w:snapToGrid w:val="0"/>
          <w:color w:val="auto"/>
          <w:szCs w:val="21"/>
        </w:rPr>
        <w:br w:type="page"/>
      </w:r>
      <w:r>
        <w:rPr>
          <w:rFonts w:hint="eastAsia" w:ascii="宋体" w:hAnsi="宋体" w:eastAsia="宋体" w:cs="宋体"/>
          <w:b/>
          <w:snapToGrid w:val="0"/>
          <w:color w:val="auto"/>
          <w:sz w:val="28"/>
          <w:szCs w:val="28"/>
        </w:rPr>
        <w:t>第三章 工程量清单、招标最高限价、编制说明（另附）</w:t>
      </w:r>
      <w:bookmarkEnd w:id="12"/>
      <w:bookmarkEnd w:id="13"/>
      <w:bookmarkEnd w:id="14"/>
      <w:bookmarkEnd w:id="15"/>
      <w:bookmarkEnd w:id="16"/>
      <w:bookmarkEnd w:id="17"/>
      <w:bookmarkEnd w:id="18"/>
    </w:p>
    <w:p w14:paraId="63E54577">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bookmarkStart w:id="41" w:name="_Toc7647"/>
      <w:bookmarkStart w:id="42" w:name="_Toc25127"/>
      <w:bookmarkStart w:id="43" w:name="_Toc16321"/>
      <w:bookmarkStart w:id="44" w:name="_Toc424397473"/>
      <w:bookmarkStart w:id="45" w:name="_Toc8075"/>
      <w:bookmarkStart w:id="46" w:name="_Toc22795"/>
      <w:bookmarkStart w:id="47" w:name="_Toc25630"/>
    </w:p>
    <w:p w14:paraId="495BEE5F">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06049079">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2E3E343F">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0FE233CC">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049FB388">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52194BA3">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5669EF97">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703EB06A">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3A265F9E">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55606D60">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1E6062A1">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50AF5AAA">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13A3CAB0">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7CC93749">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22AFA48A">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1D81E866">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02DA921A">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21C8287E">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163EFED2">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08662E94">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73D6813C">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3A08C229">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51D21D37">
      <w:pPr>
        <w:tabs>
          <w:tab w:val="left" w:pos="0"/>
          <w:tab w:val="left" w:pos="993"/>
          <w:tab w:val="left" w:pos="1134"/>
        </w:tabs>
        <w:adjustRightInd w:val="0"/>
        <w:snapToGrid w:val="0"/>
        <w:spacing w:line="360" w:lineRule="auto"/>
        <w:ind w:left="720"/>
        <w:jc w:val="center"/>
        <w:outlineLvl w:val="9"/>
        <w:rPr>
          <w:rFonts w:ascii="宋体" w:hAnsi="宋体" w:eastAsia="宋体" w:cs="Times New Roman"/>
          <w:b/>
          <w:snapToGrid w:val="0"/>
          <w:color w:val="auto"/>
          <w:sz w:val="28"/>
          <w:szCs w:val="28"/>
        </w:rPr>
      </w:pPr>
    </w:p>
    <w:p w14:paraId="36506C7D">
      <w:pPr>
        <w:tabs>
          <w:tab w:val="left" w:pos="0"/>
          <w:tab w:val="left" w:pos="993"/>
          <w:tab w:val="left" w:pos="1134"/>
        </w:tabs>
        <w:adjustRightInd w:val="0"/>
        <w:snapToGrid w:val="0"/>
        <w:spacing w:line="360" w:lineRule="auto"/>
        <w:ind w:left="720"/>
        <w:jc w:val="center"/>
        <w:outlineLvl w:val="0"/>
        <w:rPr>
          <w:rFonts w:ascii="宋体" w:hAnsi="宋体" w:eastAsia="宋体" w:cs="Times New Roman"/>
          <w:snapToGrid w:val="0"/>
          <w:color w:val="auto"/>
          <w:sz w:val="44"/>
          <w:szCs w:val="44"/>
        </w:rPr>
      </w:pPr>
      <w:r>
        <w:rPr>
          <w:rFonts w:hint="eastAsia" w:ascii="宋体" w:hAnsi="宋体" w:eastAsia="宋体" w:cs="Times New Roman"/>
          <w:b/>
          <w:snapToGrid w:val="0"/>
          <w:color w:val="auto"/>
          <w:sz w:val="28"/>
          <w:szCs w:val="28"/>
        </w:rPr>
        <w:t>第四章</w:t>
      </w:r>
      <w:r>
        <w:rPr>
          <w:rFonts w:hint="eastAsia" w:ascii="宋体" w:hAnsi="宋体" w:eastAsia="宋体" w:cs="Times New Roman"/>
          <w:b/>
          <w:snapToGrid w:val="0"/>
          <w:color w:val="auto"/>
          <w:sz w:val="28"/>
          <w:szCs w:val="28"/>
          <w:lang w:val="en-US" w:eastAsia="zh-CN"/>
        </w:rPr>
        <w:t xml:space="preserve"> </w:t>
      </w:r>
      <w:r>
        <w:rPr>
          <w:rFonts w:hint="eastAsia" w:ascii="宋体" w:hAnsi="宋体" w:eastAsia="宋体" w:cs="Times New Roman"/>
          <w:b/>
          <w:snapToGrid w:val="0"/>
          <w:color w:val="auto"/>
          <w:sz w:val="28"/>
          <w:szCs w:val="28"/>
        </w:rPr>
        <w:t>投标文件(格式)</w:t>
      </w:r>
      <w:bookmarkEnd w:id="41"/>
      <w:bookmarkEnd w:id="42"/>
      <w:bookmarkEnd w:id="43"/>
      <w:bookmarkEnd w:id="44"/>
      <w:bookmarkEnd w:id="45"/>
      <w:bookmarkEnd w:id="46"/>
      <w:bookmarkEnd w:id="47"/>
    </w:p>
    <w:p w14:paraId="09048902">
      <w:pPr>
        <w:widowControl w:val="0"/>
        <w:tabs>
          <w:tab w:val="left" w:pos="0"/>
          <w:tab w:val="left" w:pos="993"/>
          <w:tab w:val="left" w:pos="1134"/>
        </w:tabs>
        <w:spacing w:line="360" w:lineRule="auto"/>
        <w:ind w:left="480" w:firstLine="360"/>
        <w:jc w:val="both"/>
        <w:rPr>
          <w:rFonts w:ascii="宋体" w:hAnsi="宋体" w:eastAsia="宋体" w:cs="Times New Roman"/>
          <w:b/>
          <w:color w:val="auto"/>
          <w:kern w:val="2"/>
          <w:sz w:val="24"/>
          <w:szCs w:val="24"/>
          <w:lang w:val="en-US" w:eastAsia="zh-CN" w:bidi="ar-SA"/>
        </w:rPr>
      </w:pPr>
    </w:p>
    <w:p w14:paraId="5AD49D5C">
      <w:pPr>
        <w:widowControl w:val="0"/>
        <w:tabs>
          <w:tab w:val="left" w:pos="0"/>
          <w:tab w:val="left" w:pos="993"/>
          <w:tab w:val="left" w:pos="1134"/>
        </w:tabs>
        <w:spacing w:line="360" w:lineRule="auto"/>
        <w:ind w:left="480" w:firstLine="360"/>
        <w:jc w:val="both"/>
        <w:rPr>
          <w:rFonts w:ascii="宋体" w:hAnsi="宋体" w:eastAsia="宋体" w:cs="Times New Roman"/>
          <w:b/>
          <w:color w:val="auto"/>
          <w:kern w:val="2"/>
          <w:sz w:val="24"/>
          <w:szCs w:val="24"/>
          <w:lang w:val="en-US" w:eastAsia="zh-CN" w:bidi="ar-SA"/>
        </w:rPr>
      </w:pPr>
    </w:p>
    <w:p w14:paraId="6707065E">
      <w:pPr>
        <w:widowControl w:val="0"/>
        <w:tabs>
          <w:tab w:val="left" w:pos="0"/>
          <w:tab w:val="left" w:pos="993"/>
          <w:tab w:val="left" w:pos="1134"/>
        </w:tabs>
        <w:spacing w:line="360" w:lineRule="auto"/>
        <w:ind w:left="480" w:firstLine="360"/>
        <w:jc w:val="both"/>
        <w:rPr>
          <w:rFonts w:ascii="宋体" w:hAnsi="宋体" w:eastAsia="宋体" w:cs="Times New Roman"/>
          <w:b/>
          <w:color w:val="auto"/>
          <w:kern w:val="2"/>
          <w:sz w:val="24"/>
          <w:szCs w:val="24"/>
          <w:lang w:val="en-US" w:eastAsia="zh-CN" w:bidi="ar-SA"/>
        </w:rPr>
      </w:pPr>
    </w:p>
    <w:p w14:paraId="24F42DB2">
      <w:pPr>
        <w:spacing w:line="360" w:lineRule="auto"/>
        <w:jc w:val="center"/>
        <w:rPr>
          <w:rFonts w:hint="eastAsia" w:ascii="宋体" w:hAnsi="宋体" w:eastAsia="宋体" w:cs="Times New Roman"/>
          <w:b/>
          <w:color w:val="auto"/>
          <w:sz w:val="36"/>
          <w:szCs w:val="36"/>
          <w:lang w:eastAsia="zh-CN"/>
        </w:rPr>
      </w:pPr>
      <w:r>
        <w:rPr>
          <w:rFonts w:hint="eastAsia" w:ascii="宋体" w:hAnsi="宋体" w:eastAsia="宋体" w:cs="Times New Roman"/>
          <w:b/>
          <w:color w:val="auto"/>
          <w:sz w:val="36"/>
          <w:szCs w:val="36"/>
          <w:lang w:eastAsia="zh-CN"/>
        </w:rPr>
        <w:t>新城实验幼儿园暑期木质防护</w:t>
      </w:r>
    </w:p>
    <w:p w14:paraId="51C6D852">
      <w:pPr>
        <w:spacing w:line="360" w:lineRule="auto"/>
        <w:jc w:val="center"/>
        <w:rPr>
          <w:rFonts w:hint="eastAsia" w:ascii="宋体" w:hAnsi="宋体" w:eastAsia="宋体" w:cs="Times New Roman"/>
          <w:b/>
          <w:color w:val="auto"/>
          <w:sz w:val="28"/>
          <w:szCs w:val="28"/>
        </w:rPr>
      </w:pPr>
    </w:p>
    <w:p w14:paraId="0D5DAC6B">
      <w:pPr>
        <w:spacing w:line="360" w:lineRule="auto"/>
        <w:jc w:val="center"/>
        <w:rPr>
          <w:rFonts w:hint="eastAsia" w:ascii="宋体" w:hAnsi="宋体" w:eastAsia="宋体" w:cs="Times New Roman"/>
          <w:b/>
          <w:color w:val="auto"/>
          <w:sz w:val="36"/>
          <w:szCs w:val="36"/>
        </w:rPr>
      </w:pPr>
    </w:p>
    <w:p w14:paraId="6F319930">
      <w:pPr>
        <w:spacing w:line="360" w:lineRule="auto"/>
        <w:jc w:val="center"/>
        <w:rPr>
          <w:rFonts w:ascii="宋体" w:hAnsi="宋体" w:eastAsia="宋体" w:cs="Times New Roman"/>
          <w:b/>
          <w:color w:val="auto"/>
          <w:sz w:val="56"/>
          <w:szCs w:val="56"/>
        </w:rPr>
      </w:pPr>
      <w:r>
        <w:rPr>
          <w:rFonts w:hint="eastAsia" w:ascii="宋体" w:hAnsi="宋体" w:eastAsia="宋体" w:cs="Times New Roman"/>
          <w:b/>
          <w:color w:val="auto"/>
          <w:sz w:val="56"/>
          <w:szCs w:val="56"/>
        </w:rPr>
        <w:t>投 标 文 件</w:t>
      </w:r>
    </w:p>
    <w:p w14:paraId="32CD1651">
      <w:pPr>
        <w:spacing w:line="360" w:lineRule="auto"/>
        <w:rPr>
          <w:rFonts w:ascii="宋体" w:hAnsi="宋体" w:eastAsia="宋体" w:cs="Times New Roman"/>
          <w:color w:val="auto"/>
          <w:sz w:val="24"/>
        </w:rPr>
      </w:pPr>
    </w:p>
    <w:p w14:paraId="664E37D5">
      <w:pPr>
        <w:spacing w:line="360" w:lineRule="auto"/>
        <w:rPr>
          <w:rFonts w:ascii="宋体" w:hAnsi="宋体" w:eastAsia="宋体" w:cs="Times New Roman"/>
          <w:color w:val="auto"/>
          <w:sz w:val="24"/>
        </w:rPr>
      </w:pPr>
      <w:r>
        <w:rPr>
          <w:rFonts w:hint="eastAsia" w:ascii="宋体" w:hAnsi="宋体" w:eastAsia="宋体" w:cs="Times New Roman"/>
          <w:color w:val="auto"/>
          <w:sz w:val="24"/>
        </w:rPr>
        <w:t xml:space="preserve">                  </w:t>
      </w:r>
    </w:p>
    <w:p w14:paraId="64BC637F">
      <w:pPr>
        <w:spacing w:line="360" w:lineRule="auto"/>
        <w:rPr>
          <w:rFonts w:ascii="宋体" w:hAnsi="宋体" w:eastAsia="宋体" w:cs="Times New Roman"/>
          <w:color w:val="auto"/>
          <w:sz w:val="24"/>
        </w:rPr>
      </w:pPr>
    </w:p>
    <w:p w14:paraId="62AD5A82">
      <w:pPr>
        <w:spacing w:line="360" w:lineRule="auto"/>
        <w:rPr>
          <w:rFonts w:ascii="宋体" w:hAnsi="宋体" w:eastAsia="宋体" w:cs="Times New Roman"/>
          <w:color w:val="auto"/>
          <w:sz w:val="24"/>
        </w:rPr>
      </w:pPr>
    </w:p>
    <w:p w14:paraId="5B737981">
      <w:pPr>
        <w:outlineLvl w:val="9"/>
        <w:rPr>
          <w:rFonts w:ascii="Calibri" w:hAnsi="Calibri" w:eastAsia="宋体" w:cs="Times New Roman"/>
          <w:color w:val="auto"/>
        </w:rPr>
      </w:pPr>
    </w:p>
    <w:p w14:paraId="394D9A0F">
      <w:pPr>
        <w:spacing w:line="360" w:lineRule="auto"/>
        <w:ind w:firstLine="1500"/>
        <w:rPr>
          <w:rFonts w:ascii="宋体" w:hAnsi="宋体" w:eastAsia="宋体" w:cs="Times New Roman"/>
          <w:color w:val="auto"/>
          <w:sz w:val="24"/>
          <w:u w:val="single"/>
        </w:rPr>
      </w:pPr>
      <w:r>
        <w:rPr>
          <w:rFonts w:hint="eastAsia" w:ascii="宋体" w:hAnsi="宋体" w:eastAsia="宋体" w:cs="Times New Roman"/>
          <w:color w:val="auto"/>
          <w:sz w:val="24"/>
        </w:rPr>
        <w:t xml:space="preserve"> </w:t>
      </w:r>
    </w:p>
    <w:p w14:paraId="46644EC2">
      <w:pPr>
        <w:spacing w:line="360" w:lineRule="auto"/>
        <w:ind w:firstLine="1500"/>
        <w:rPr>
          <w:rFonts w:ascii="宋体" w:hAnsi="宋体" w:eastAsia="宋体" w:cs="Times New Roman"/>
          <w:color w:val="auto"/>
          <w:sz w:val="24"/>
          <w:u w:val="single"/>
        </w:rPr>
      </w:pPr>
      <w:r>
        <w:rPr>
          <w:rFonts w:hint="eastAsia" w:ascii="宋体" w:hAnsi="宋体" w:eastAsia="宋体" w:cs="Times New Roman"/>
          <w:color w:val="auto"/>
          <w:sz w:val="24"/>
        </w:rPr>
        <w:t>项  目  名  称：</w:t>
      </w:r>
      <w:r>
        <w:rPr>
          <w:rFonts w:hint="eastAsia" w:ascii="宋体" w:hAnsi="宋体" w:eastAsia="宋体" w:cs="Times New Roman"/>
          <w:color w:val="auto"/>
          <w:sz w:val="24"/>
          <w:u w:val="single"/>
        </w:rPr>
        <w:t xml:space="preserve">                               </w:t>
      </w:r>
    </w:p>
    <w:p w14:paraId="399B1706">
      <w:pPr>
        <w:spacing w:line="360" w:lineRule="auto"/>
        <w:rPr>
          <w:rFonts w:ascii="宋体" w:hAnsi="宋体" w:eastAsia="宋体" w:cs="Times New Roman"/>
          <w:color w:val="auto"/>
          <w:sz w:val="24"/>
        </w:rPr>
      </w:pPr>
    </w:p>
    <w:p w14:paraId="57F309F7">
      <w:pPr>
        <w:spacing w:line="360" w:lineRule="auto"/>
        <w:ind w:firstLine="1500"/>
        <w:rPr>
          <w:rFonts w:ascii="宋体" w:hAnsi="宋体" w:eastAsia="宋体" w:cs="Times New Roman"/>
          <w:color w:val="auto"/>
          <w:sz w:val="24"/>
          <w:u w:val="single"/>
        </w:rPr>
      </w:pPr>
      <w:r>
        <w:rPr>
          <w:rFonts w:hint="eastAsia" w:ascii="宋体" w:hAnsi="宋体" w:eastAsia="宋体" w:cs="Times New Roman"/>
          <w:color w:val="auto"/>
          <w:sz w:val="24"/>
        </w:rPr>
        <w:t>投  标 人（章）：</w:t>
      </w:r>
      <w:r>
        <w:rPr>
          <w:rFonts w:hint="eastAsia" w:ascii="宋体" w:hAnsi="宋体" w:eastAsia="宋体" w:cs="Times New Roman"/>
          <w:color w:val="auto"/>
          <w:sz w:val="24"/>
          <w:u w:val="single"/>
        </w:rPr>
        <w:t xml:space="preserve">       　            　　     </w:t>
      </w:r>
    </w:p>
    <w:p w14:paraId="483EF361">
      <w:pPr>
        <w:spacing w:line="360" w:lineRule="auto"/>
        <w:ind w:firstLine="1890"/>
        <w:rPr>
          <w:rFonts w:ascii="宋体" w:hAnsi="宋体" w:eastAsia="宋体" w:cs="Times New Roman"/>
          <w:color w:val="auto"/>
          <w:sz w:val="24"/>
          <w:u w:val="single"/>
        </w:rPr>
      </w:pPr>
    </w:p>
    <w:p w14:paraId="28944644">
      <w:pPr>
        <w:spacing w:line="360" w:lineRule="auto"/>
        <w:ind w:firstLine="1440" w:firstLineChars="600"/>
        <w:rPr>
          <w:rFonts w:ascii="宋体" w:hAnsi="宋体" w:eastAsia="宋体" w:cs="Times New Roman"/>
          <w:color w:val="auto"/>
          <w:sz w:val="24"/>
          <w:u w:val="single"/>
        </w:rPr>
      </w:pPr>
      <w:r>
        <w:rPr>
          <w:rFonts w:hint="eastAsia" w:ascii="宋体" w:hAnsi="宋体" w:eastAsia="宋体" w:cs="Times New Roman"/>
          <w:color w:val="auto"/>
          <w:sz w:val="24"/>
        </w:rPr>
        <w:t>法定代表人（签字或盖章）：</w:t>
      </w:r>
      <w:r>
        <w:rPr>
          <w:rFonts w:hint="eastAsia" w:ascii="宋体" w:hAnsi="宋体" w:eastAsia="宋体" w:cs="Times New Roman"/>
          <w:color w:val="auto"/>
          <w:sz w:val="24"/>
          <w:u w:val="single"/>
        </w:rPr>
        <w:t xml:space="preserve">              　　   </w:t>
      </w:r>
    </w:p>
    <w:p w14:paraId="39CD6BF3">
      <w:pPr>
        <w:spacing w:line="360" w:lineRule="auto"/>
        <w:ind w:firstLine="1500"/>
        <w:rPr>
          <w:rFonts w:ascii="宋体" w:hAnsi="宋体" w:eastAsia="宋体" w:cs="Times New Roman"/>
          <w:color w:val="auto"/>
          <w:sz w:val="24"/>
        </w:rPr>
      </w:pPr>
    </w:p>
    <w:p w14:paraId="2E3ED376">
      <w:pPr>
        <w:spacing w:line="360" w:lineRule="auto"/>
        <w:ind w:firstLine="1440" w:firstLineChars="600"/>
        <w:rPr>
          <w:rFonts w:ascii="宋体" w:hAnsi="宋体" w:eastAsia="宋体" w:cs="Times New Roman"/>
          <w:color w:val="auto"/>
          <w:sz w:val="24"/>
        </w:rPr>
      </w:pPr>
      <w:r>
        <w:rPr>
          <w:rFonts w:hint="eastAsia" w:ascii="宋体" w:hAnsi="宋体" w:eastAsia="宋体" w:cs="Times New Roman"/>
          <w:color w:val="auto"/>
          <w:sz w:val="24"/>
        </w:rPr>
        <w:t>日期：</w:t>
      </w:r>
      <w:r>
        <w:rPr>
          <w:rFonts w:hint="eastAsia" w:ascii="宋体" w:hAnsi="宋体" w:eastAsia="宋体" w:cs="Times New Roman"/>
          <w:color w:val="auto"/>
          <w:sz w:val="24"/>
          <w:u w:val="single"/>
        </w:rPr>
        <w:t xml:space="preserve">        </w:t>
      </w:r>
      <w:r>
        <w:rPr>
          <w:rFonts w:hint="eastAsia" w:ascii="宋体" w:hAnsi="宋体" w:eastAsia="宋体" w:cs="Times New Roman"/>
          <w:color w:val="auto"/>
          <w:sz w:val="24"/>
        </w:rPr>
        <w:t>年</w:t>
      </w:r>
      <w:r>
        <w:rPr>
          <w:rFonts w:hint="eastAsia" w:ascii="宋体" w:hAnsi="宋体" w:eastAsia="宋体" w:cs="Times New Roman"/>
          <w:color w:val="auto"/>
          <w:sz w:val="24"/>
          <w:u w:val="single"/>
        </w:rPr>
        <w:t xml:space="preserve">  　     </w:t>
      </w:r>
      <w:r>
        <w:rPr>
          <w:rFonts w:hint="eastAsia" w:ascii="宋体" w:hAnsi="宋体" w:eastAsia="宋体" w:cs="Times New Roman"/>
          <w:color w:val="auto"/>
          <w:sz w:val="24"/>
        </w:rPr>
        <w:t>月</w:t>
      </w:r>
      <w:r>
        <w:rPr>
          <w:rFonts w:hint="eastAsia" w:ascii="宋体" w:hAnsi="宋体" w:eastAsia="宋体" w:cs="Times New Roman"/>
          <w:color w:val="auto"/>
          <w:sz w:val="24"/>
          <w:u w:val="single"/>
        </w:rPr>
        <w:t xml:space="preserve">       　</w:t>
      </w:r>
      <w:r>
        <w:rPr>
          <w:rFonts w:hint="eastAsia" w:ascii="宋体" w:hAnsi="宋体" w:eastAsia="宋体" w:cs="Times New Roman"/>
          <w:color w:val="auto"/>
          <w:sz w:val="24"/>
        </w:rPr>
        <w:t>日</w:t>
      </w:r>
    </w:p>
    <w:p w14:paraId="6EDAC0CB">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5877A7E">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3F1F9515">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753AC473">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50CAD52">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21AAA16C">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4C7B7BD">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7801EA5E">
      <w:pPr>
        <w:widowControl w:val="0"/>
        <w:tabs>
          <w:tab w:val="left" w:pos="0"/>
          <w:tab w:val="left" w:pos="993"/>
          <w:tab w:val="left" w:pos="1134"/>
        </w:tabs>
        <w:spacing w:line="500" w:lineRule="exact"/>
        <w:jc w:val="both"/>
        <w:outlineLvl w:val="9"/>
        <w:rPr>
          <w:rFonts w:ascii="宋体" w:hAnsi="Calibri" w:eastAsia="宋体" w:cs="Times New Roman"/>
          <w:color w:val="auto"/>
          <w:kern w:val="2"/>
          <w:sz w:val="28"/>
          <w:szCs w:val="24"/>
          <w:lang w:val="en-US" w:eastAsia="zh-CN" w:bidi="ar-SA"/>
        </w:rPr>
      </w:pPr>
    </w:p>
    <w:p w14:paraId="1B252A0F">
      <w:pPr>
        <w:outlineLvl w:val="9"/>
        <w:rPr>
          <w:rFonts w:ascii="Calibri" w:hAnsi="Calibri" w:eastAsia="宋体" w:cs="Times New Roman"/>
          <w:color w:val="auto"/>
        </w:rPr>
      </w:pPr>
    </w:p>
    <w:p w14:paraId="60829A87">
      <w:pPr>
        <w:tabs>
          <w:tab w:val="left" w:pos="0"/>
          <w:tab w:val="left" w:pos="993"/>
          <w:tab w:val="left" w:pos="1134"/>
        </w:tabs>
        <w:adjustRightInd w:val="0"/>
        <w:snapToGrid w:val="0"/>
        <w:spacing w:line="360" w:lineRule="auto"/>
        <w:jc w:val="center"/>
        <w:outlineLvl w:val="9"/>
        <w:rPr>
          <w:rFonts w:ascii="宋体" w:hAnsi="宋体" w:eastAsia="宋体" w:cs="Times New Roman"/>
          <w:b/>
          <w:snapToGrid w:val="0"/>
          <w:color w:val="auto"/>
          <w:sz w:val="24"/>
        </w:rPr>
      </w:pPr>
    </w:p>
    <w:p w14:paraId="624DC03F">
      <w:pPr>
        <w:jc w:val="center"/>
        <w:rPr>
          <w:rFonts w:ascii="宋体" w:hAnsi="宋体" w:eastAsia="宋体" w:cs="Times New Roman"/>
          <w:b/>
          <w:snapToGrid w:val="0"/>
          <w:color w:val="auto"/>
          <w:sz w:val="24"/>
        </w:rPr>
      </w:pPr>
      <w:r>
        <w:rPr>
          <w:rFonts w:hint="eastAsia" w:ascii="宋体" w:hAnsi="宋体" w:eastAsia="宋体" w:cs="Times New Roman"/>
          <w:b/>
          <w:snapToGrid w:val="0"/>
          <w:color w:val="auto"/>
          <w:sz w:val="24"/>
        </w:rPr>
        <w:t>目   录</w:t>
      </w:r>
    </w:p>
    <w:p w14:paraId="1BA0BA4E">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38561F3">
      <w:pPr>
        <w:tabs>
          <w:tab w:val="left" w:pos="0"/>
          <w:tab w:val="left" w:pos="993"/>
          <w:tab w:val="left" w:pos="1134"/>
        </w:tabs>
        <w:adjustRightInd w:val="0"/>
        <w:snapToGrid w:val="0"/>
        <w:spacing w:line="360" w:lineRule="auto"/>
        <w:ind w:firstLine="178" w:firstLineChars="74"/>
        <w:rPr>
          <w:rFonts w:ascii="宋体" w:hAnsi="宋体" w:eastAsia="宋体" w:cs="Times New Roman"/>
          <w:b/>
          <w:snapToGrid w:val="0"/>
          <w:color w:val="auto"/>
          <w:sz w:val="24"/>
        </w:rPr>
      </w:pPr>
      <w:r>
        <w:rPr>
          <w:rFonts w:hint="eastAsia" w:ascii="宋体" w:hAnsi="宋体" w:eastAsia="宋体" w:cs="Times New Roman"/>
          <w:b/>
          <w:snapToGrid w:val="0"/>
          <w:color w:val="auto"/>
          <w:sz w:val="24"/>
        </w:rPr>
        <w:t>一、投标函</w:t>
      </w:r>
    </w:p>
    <w:p w14:paraId="08BADD89">
      <w:pPr>
        <w:tabs>
          <w:tab w:val="left" w:pos="0"/>
          <w:tab w:val="left" w:pos="993"/>
        </w:tabs>
        <w:adjustRightInd w:val="0"/>
        <w:snapToGrid w:val="0"/>
        <w:spacing w:line="360" w:lineRule="auto"/>
        <w:ind w:firstLine="178" w:firstLineChars="74"/>
        <w:rPr>
          <w:rFonts w:ascii="宋体" w:hAnsi="宋体" w:eastAsia="宋体" w:cs="Times New Roman"/>
          <w:b/>
          <w:snapToGrid w:val="0"/>
          <w:color w:val="auto"/>
          <w:sz w:val="24"/>
        </w:rPr>
      </w:pPr>
      <w:r>
        <w:rPr>
          <w:rFonts w:hint="eastAsia" w:ascii="宋体" w:hAnsi="宋体" w:eastAsia="宋体" w:cs="Times New Roman"/>
          <w:b/>
          <w:snapToGrid w:val="0"/>
          <w:color w:val="auto"/>
          <w:sz w:val="24"/>
        </w:rPr>
        <w:t>二、法人代表资格证书</w:t>
      </w:r>
    </w:p>
    <w:p w14:paraId="12E3CEDA">
      <w:pPr>
        <w:tabs>
          <w:tab w:val="left" w:pos="0"/>
          <w:tab w:val="left" w:pos="993"/>
        </w:tabs>
        <w:adjustRightInd w:val="0"/>
        <w:snapToGrid w:val="0"/>
        <w:spacing w:line="360" w:lineRule="auto"/>
        <w:ind w:firstLine="178" w:firstLineChars="74"/>
        <w:rPr>
          <w:rFonts w:ascii="宋体" w:hAnsi="宋体" w:eastAsia="宋体" w:cs="Times New Roman"/>
          <w:b/>
          <w:snapToGrid w:val="0"/>
          <w:color w:val="auto"/>
          <w:sz w:val="24"/>
        </w:rPr>
      </w:pPr>
      <w:r>
        <w:rPr>
          <w:rFonts w:hint="eastAsia" w:ascii="宋体" w:hAnsi="宋体" w:eastAsia="宋体" w:cs="Times New Roman"/>
          <w:b/>
          <w:snapToGrid w:val="0"/>
          <w:color w:val="auto"/>
          <w:sz w:val="24"/>
        </w:rPr>
        <w:t>三、授权委托书</w:t>
      </w:r>
    </w:p>
    <w:p w14:paraId="4627F36C">
      <w:pPr>
        <w:tabs>
          <w:tab w:val="left" w:pos="0"/>
          <w:tab w:val="left" w:pos="993"/>
          <w:tab w:val="left" w:pos="1134"/>
        </w:tabs>
        <w:adjustRightInd w:val="0"/>
        <w:snapToGrid w:val="0"/>
        <w:spacing w:line="360" w:lineRule="auto"/>
        <w:ind w:firstLine="178" w:firstLineChars="74"/>
        <w:rPr>
          <w:rFonts w:ascii="宋体" w:hAnsi="宋体" w:eastAsia="宋体" w:cs="Times New Roman"/>
          <w:b/>
          <w:snapToGrid w:val="0"/>
          <w:color w:val="auto"/>
          <w:sz w:val="24"/>
        </w:rPr>
      </w:pPr>
      <w:r>
        <w:rPr>
          <w:rFonts w:hint="eastAsia" w:ascii="宋体" w:hAnsi="宋体" w:eastAsia="宋体" w:cs="Times New Roman"/>
          <w:b/>
          <w:snapToGrid w:val="0"/>
          <w:color w:val="auto"/>
          <w:sz w:val="24"/>
        </w:rPr>
        <w:t>四、投标报价汇总表及其它报价表</w:t>
      </w:r>
    </w:p>
    <w:p w14:paraId="6D184316">
      <w:pPr>
        <w:tabs>
          <w:tab w:val="left" w:pos="0"/>
          <w:tab w:val="left" w:pos="993"/>
        </w:tabs>
        <w:adjustRightInd w:val="0"/>
        <w:snapToGrid w:val="0"/>
        <w:spacing w:line="360" w:lineRule="auto"/>
        <w:ind w:firstLine="178" w:firstLineChars="74"/>
        <w:rPr>
          <w:rFonts w:ascii="宋体" w:hAnsi="宋体" w:eastAsia="宋体" w:cs="Times New Roman"/>
          <w:b/>
          <w:bCs/>
          <w:color w:val="auto"/>
          <w:sz w:val="24"/>
        </w:rPr>
      </w:pPr>
    </w:p>
    <w:p w14:paraId="4907B645">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0C6E5D1D">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D85DED5">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68B0F192">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553E54AA">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010652CA">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76379D0F">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6854EDBB">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495A041B">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65D83277">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776AE349">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1613041F">
      <w:pPr>
        <w:tabs>
          <w:tab w:val="left" w:pos="0"/>
          <w:tab w:val="left" w:pos="993"/>
          <w:tab w:val="left" w:pos="1134"/>
        </w:tabs>
        <w:adjustRightInd w:val="0"/>
        <w:snapToGrid w:val="0"/>
        <w:spacing w:line="360" w:lineRule="auto"/>
        <w:jc w:val="center"/>
        <w:rPr>
          <w:rFonts w:ascii="宋体" w:hAnsi="宋体" w:eastAsia="宋体" w:cs="Times New Roman"/>
          <w:b/>
          <w:snapToGrid w:val="0"/>
          <w:color w:val="auto"/>
          <w:sz w:val="24"/>
        </w:rPr>
      </w:pPr>
    </w:p>
    <w:p w14:paraId="55C27B31">
      <w:pPr>
        <w:widowControl w:val="0"/>
        <w:spacing w:line="360" w:lineRule="auto"/>
        <w:jc w:val="both"/>
        <w:rPr>
          <w:rFonts w:ascii="宋体" w:hAnsi="宋体" w:eastAsia="宋体" w:cs="Times New Roman"/>
          <w:color w:val="auto"/>
          <w:kern w:val="2"/>
          <w:sz w:val="24"/>
          <w:szCs w:val="24"/>
          <w:lang w:val="en-US" w:eastAsia="zh-CN" w:bidi="ar-SA"/>
        </w:rPr>
      </w:pPr>
    </w:p>
    <w:p w14:paraId="6F28B71D">
      <w:pPr>
        <w:widowControl w:val="0"/>
        <w:spacing w:line="360" w:lineRule="auto"/>
        <w:jc w:val="both"/>
        <w:rPr>
          <w:rFonts w:ascii="宋体" w:hAnsi="宋体" w:eastAsia="宋体" w:cs="Times New Roman"/>
          <w:color w:val="auto"/>
          <w:kern w:val="2"/>
          <w:sz w:val="24"/>
          <w:szCs w:val="24"/>
          <w:lang w:val="en-US" w:eastAsia="zh-CN" w:bidi="ar-SA"/>
        </w:rPr>
      </w:pPr>
    </w:p>
    <w:p w14:paraId="6FE4E3D2">
      <w:pPr>
        <w:widowControl w:val="0"/>
        <w:spacing w:line="360" w:lineRule="auto"/>
        <w:jc w:val="both"/>
        <w:rPr>
          <w:rFonts w:ascii="宋体" w:hAnsi="宋体" w:eastAsia="宋体" w:cs="Times New Roman"/>
          <w:color w:val="auto"/>
          <w:kern w:val="2"/>
          <w:sz w:val="24"/>
          <w:szCs w:val="24"/>
          <w:lang w:val="en-US" w:eastAsia="zh-CN" w:bidi="ar-SA"/>
        </w:rPr>
      </w:pPr>
    </w:p>
    <w:p w14:paraId="78481A1D">
      <w:pPr>
        <w:widowControl w:val="0"/>
        <w:spacing w:line="360" w:lineRule="auto"/>
        <w:jc w:val="both"/>
        <w:rPr>
          <w:rFonts w:ascii="宋体" w:hAnsi="宋体" w:eastAsia="宋体" w:cs="Times New Roman"/>
          <w:color w:val="auto"/>
          <w:kern w:val="2"/>
          <w:sz w:val="24"/>
          <w:szCs w:val="24"/>
          <w:lang w:val="en-US" w:eastAsia="zh-CN" w:bidi="ar-SA"/>
        </w:rPr>
      </w:pPr>
    </w:p>
    <w:p w14:paraId="564C90D2">
      <w:pPr>
        <w:widowControl w:val="0"/>
        <w:spacing w:line="360" w:lineRule="auto"/>
        <w:jc w:val="both"/>
        <w:rPr>
          <w:rFonts w:ascii="宋体" w:hAnsi="宋体" w:eastAsia="宋体" w:cs="Times New Roman"/>
          <w:color w:val="auto"/>
          <w:kern w:val="2"/>
          <w:sz w:val="24"/>
          <w:szCs w:val="24"/>
          <w:lang w:val="en-US" w:eastAsia="zh-CN" w:bidi="ar-SA"/>
        </w:rPr>
      </w:pPr>
    </w:p>
    <w:p w14:paraId="0BD738D9">
      <w:pPr>
        <w:widowControl w:val="0"/>
        <w:spacing w:line="360" w:lineRule="auto"/>
        <w:jc w:val="both"/>
        <w:rPr>
          <w:rFonts w:ascii="宋体" w:hAnsi="宋体" w:eastAsia="宋体" w:cs="Times New Roman"/>
          <w:color w:val="auto"/>
          <w:kern w:val="2"/>
          <w:sz w:val="24"/>
          <w:szCs w:val="24"/>
          <w:lang w:val="en-US" w:eastAsia="zh-CN" w:bidi="ar-SA"/>
        </w:rPr>
      </w:pPr>
    </w:p>
    <w:p w14:paraId="36A1C570">
      <w:pPr>
        <w:widowControl w:val="0"/>
        <w:spacing w:line="360" w:lineRule="auto"/>
        <w:jc w:val="both"/>
        <w:rPr>
          <w:rFonts w:ascii="宋体" w:hAnsi="宋体" w:eastAsia="宋体" w:cs="Times New Roman"/>
          <w:color w:val="auto"/>
          <w:kern w:val="2"/>
          <w:sz w:val="24"/>
          <w:szCs w:val="24"/>
          <w:lang w:val="en-US" w:eastAsia="zh-CN" w:bidi="ar-SA"/>
        </w:rPr>
      </w:pPr>
    </w:p>
    <w:p w14:paraId="4E56AA43">
      <w:pPr>
        <w:widowControl w:val="0"/>
        <w:tabs>
          <w:tab w:val="left" w:pos="916"/>
          <w:tab w:val="left" w:pos="4185"/>
          <w:tab w:val="left" w:pos="4230"/>
          <w:tab w:val="left" w:pos="426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hint="eastAsia" w:ascii="宋体" w:hAnsi="宋体" w:eastAsia="宋体" w:cs="Courier New"/>
          <w:b/>
          <w:color w:val="auto"/>
          <w:kern w:val="2"/>
          <w:sz w:val="28"/>
          <w:szCs w:val="28"/>
          <w:lang w:val="en-US" w:eastAsia="zh-CN" w:bidi="ar-SA"/>
        </w:rPr>
      </w:pPr>
    </w:p>
    <w:p w14:paraId="457142AE">
      <w:pPr>
        <w:widowControl w:val="0"/>
        <w:tabs>
          <w:tab w:val="left" w:pos="916"/>
          <w:tab w:val="left" w:pos="4185"/>
          <w:tab w:val="left" w:pos="4230"/>
          <w:tab w:val="left" w:pos="426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2" w:firstLineChars="200"/>
        <w:jc w:val="center"/>
        <w:rPr>
          <w:rFonts w:ascii="宋体" w:hAnsi="宋体" w:eastAsia="宋体" w:cs="Courier New"/>
          <w:b/>
          <w:color w:val="auto"/>
          <w:kern w:val="2"/>
          <w:sz w:val="24"/>
          <w:szCs w:val="24"/>
          <w:lang w:val="en-US" w:eastAsia="zh-CN" w:bidi="ar-SA"/>
        </w:rPr>
      </w:pPr>
      <w:r>
        <w:rPr>
          <w:rFonts w:hint="eastAsia" w:ascii="宋体" w:hAnsi="宋体" w:eastAsia="宋体" w:cs="Courier New"/>
          <w:b/>
          <w:color w:val="auto"/>
          <w:kern w:val="2"/>
          <w:sz w:val="28"/>
          <w:szCs w:val="28"/>
          <w:lang w:val="en-US" w:eastAsia="zh-CN" w:bidi="ar-SA"/>
        </w:rPr>
        <w:t>一、投   标   函</w:t>
      </w:r>
    </w:p>
    <w:p w14:paraId="42E69D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4"/>
          <w:szCs w:val="24"/>
          <w:lang w:val="en-US" w:eastAsia="zh-CN" w:bidi="ar-SA"/>
        </w:rPr>
      </w:pPr>
    </w:p>
    <w:p w14:paraId="300C45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致：</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 xml:space="preserve"> （招标人）</w:t>
      </w:r>
    </w:p>
    <w:p w14:paraId="418606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1"/>
          <w:szCs w:val="21"/>
          <w:lang w:val="en-US" w:eastAsia="zh-CN" w:bidi="ar-SA"/>
        </w:rPr>
      </w:pPr>
    </w:p>
    <w:p w14:paraId="753BFB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我们收到贵司</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招标文件，经认真研究，我们决定参加投标。现我司同意：</w:t>
      </w:r>
    </w:p>
    <w:p w14:paraId="123432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①投标总价为人民币大写：</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元，小写：</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元，工期为</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（日历天），质量要求为</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，项目负责人</w:t>
      </w:r>
      <w:r>
        <w:rPr>
          <w:rFonts w:hint="eastAsia" w:ascii="宋体" w:hAnsi="宋体" w:eastAsia="宋体" w:cs="Courier New"/>
          <w:color w:val="auto"/>
          <w:kern w:val="2"/>
          <w:sz w:val="21"/>
          <w:szCs w:val="21"/>
          <w:u w:val="single"/>
          <w:lang w:val="en-US" w:eastAsia="zh-CN" w:bidi="ar-SA"/>
        </w:rPr>
        <w:t xml:space="preserve">         </w:t>
      </w:r>
      <w:r>
        <w:rPr>
          <w:rFonts w:hint="eastAsia" w:ascii="宋体" w:hAnsi="宋体" w:eastAsia="宋体" w:cs="Courier New"/>
          <w:color w:val="auto"/>
          <w:kern w:val="2"/>
          <w:sz w:val="21"/>
          <w:szCs w:val="21"/>
          <w:lang w:val="en-US" w:eastAsia="zh-CN" w:bidi="ar-SA"/>
        </w:rPr>
        <w:t>。</w:t>
      </w:r>
    </w:p>
    <w:p w14:paraId="07FB13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②根据招标文件的规定，我们承诺承担招标文件规定的责任和义务。</w:t>
      </w:r>
    </w:p>
    <w:p w14:paraId="215B10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③我们已详细审核全部招标文件，包括修改文件、参考资料及有关附件，完全理解上</w:t>
      </w:r>
    </w:p>
    <w:p w14:paraId="29CA37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述文件并同意放弃对这方面有不明及误解的权利。</w:t>
      </w:r>
    </w:p>
    <w:p w14:paraId="72C3D0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 xml:space="preserve">④本投标书自投标截止之日起 </w:t>
      </w:r>
      <w:r>
        <w:rPr>
          <w:rFonts w:hint="eastAsia" w:ascii="宋体" w:hAnsi="宋体" w:eastAsia="宋体" w:cs="Courier New"/>
          <w:color w:val="auto"/>
          <w:kern w:val="2"/>
          <w:sz w:val="21"/>
          <w:szCs w:val="21"/>
          <w:u w:val="single"/>
          <w:lang w:val="en-US" w:eastAsia="zh-CN" w:bidi="ar-SA"/>
        </w:rPr>
        <w:t xml:space="preserve">45 </w:t>
      </w:r>
      <w:r>
        <w:rPr>
          <w:rFonts w:hint="eastAsia" w:ascii="宋体" w:hAnsi="宋体" w:eastAsia="宋体" w:cs="Courier New"/>
          <w:color w:val="auto"/>
          <w:kern w:val="2"/>
          <w:sz w:val="21"/>
          <w:szCs w:val="21"/>
          <w:lang w:val="en-US" w:eastAsia="zh-CN" w:bidi="ar-SA"/>
        </w:rPr>
        <w:t>天内有效。</w:t>
      </w:r>
    </w:p>
    <w:p w14:paraId="6F4136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⑤我们同意提供按照招标人可能要求的与其投标有关的任何数据或资料。我们完全理</w:t>
      </w:r>
    </w:p>
    <w:p w14:paraId="60D033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解招标人不一定授标给最低报价的承包人以及接受或拒绝某一投标。</w:t>
      </w:r>
    </w:p>
    <w:p w14:paraId="7D76E1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⑥如果我们的投标被接受，我们将履行招标文件规定的每一项要求，按期、按质、按</w:t>
      </w:r>
    </w:p>
    <w:p w14:paraId="18085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量完成交货任务并承担相关责任。</w:t>
      </w:r>
    </w:p>
    <w:p w14:paraId="30E7A8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firstLineChars="200"/>
        <w:jc w:val="both"/>
        <w:rPr>
          <w:rFonts w:ascii="宋体" w:hAnsi="宋体" w:eastAsia="宋体" w:cs="Courier New"/>
          <w:color w:val="auto"/>
          <w:kern w:val="2"/>
          <w:sz w:val="21"/>
          <w:szCs w:val="21"/>
          <w:lang w:val="en-US" w:eastAsia="zh-CN" w:bidi="ar-SA"/>
        </w:rPr>
      </w:pPr>
      <w:r>
        <w:rPr>
          <w:rFonts w:hint="eastAsia" w:ascii="宋体" w:hAnsi="宋体" w:eastAsia="宋体" w:cs="Courier New"/>
          <w:color w:val="auto"/>
          <w:kern w:val="2"/>
          <w:sz w:val="21"/>
          <w:szCs w:val="21"/>
          <w:lang w:val="en-US" w:eastAsia="zh-CN" w:bidi="ar-SA"/>
        </w:rPr>
        <w:t>⑦与投标有关的正式通讯地址为：</w:t>
      </w:r>
    </w:p>
    <w:p w14:paraId="78B3BA29">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地   址：</w:t>
      </w:r>
    </w:p>
    <w:p w14:paraId="35CCF09B">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电   话：</w:t>
      </w:r>
    </w:p>
    <w:p w14:paraId="16BF426A">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传   真：</w:t>
      </w:r>
    </w:p>
    <w:p w14:paraId="54A6DA39">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邮政编码：</w:t>
      </w:r>
    </w:p>
    <w:p w14:paraId="6E98EADC">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承包人：</w:t>
      </w:r>
    </w:p>
    <w:p w14:paraId="000DC54B">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公   章：</w:t>
      </w:r>
    </w:p>
    <w:p w14:paraId="655E47DB">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承包人法定代表人或委托代理人（</w:t>
      </w:r>
      <w:r>
        <w:rPr>
          <w:rFonts w:hint="eastAsia" w:ascii="宋体" w:hAnsi="宋体" w:eastAsia="宋体" w:cs="Times New Roman"/>
          <w:color w:val="auto"/>
          <w:szCs w:val="21"/>
        </w:rPr>
        <w:t>签字或盖章）</w:t>
      </w:r>
      <w:r>
        <w:rPr>
          <w:rFonts w:hint="eastAsia" w:ascii="Calibri" w:hAnsi="Calibri" w:eastAsia="宋体" w:cs="Times New Roman"/>
          <w:color w:val="auto"/>
        </w:rPr>
        <w:t>：</w:t>
      </w:r>
    </w:p>
    <w:p w14:paraId="283CD089">
      <w:pPr>
        <w:spacing w:line="360" w:lineRule="auto"/>
        <w:ind w:firstLine="420" w:firstLineChars="200"/>
        <w:rPr>
          <w:rFonts w:ascii="Calibri" w:hAnsi="Calibri" w:eastAsia="宋体" w:cs="Times New Roman"/>
          <w:color w:val="auto"/>
        </w:rPr>
      </w:pPr>
      <w:r>
        <w:rPr>
          <w:rFonts w:hint="eastAsia" w:ascii="Calibri" w:hAnsi="Calibri" w:eastAsia="宋体" w:cs="Times New Roman"/>
          <w:color w:val="auto"/>
        </w:rPr>
        <w:t>日   期：</w:t>
      </w:r>
    </w:p>
    <w:p w14:paraId="0F28C147">
      <w:pPr>
        <w:widowControl w:val="0"/>
        <w:adjustRightInd w:val="0"/>
        <w:snapToGrid w:val="0"/>
        <w:spacing w:line="360" w:lineRule="auto"/>
        <w:jc w:val="center"/>
        <w:rPr>
          <w:rFonts w:ascii="宋体" w:hAnsi="宋体" w:eastAsia="宋体" w:cs="Times New Roman"/>
          <w:color w:val="auto"/>
          <w:kern w:val="2"/>
          <w:sz w:val="24"/>
          <w:szCs w:val="24"/>
          <w:lang w:val="en-US" w:eastAsia="zh-CN" w:bidi="ar-SA"/>
        </w:rPr>
      </w:pPr>
      <w:r>
        <w:rPr>
          <w:rFonts w:ascii="宋体" w:hAnsi="宋体" w:eastAsia="宋体" w:cs="Times New Roman"/>
          <w:color w:val="auto"/>
          <w:kern w:val="2"/>
          <w:sz w:val="24"/>
          <w:szCs w:val="24"/>
          <w:u w:val="single"/>
          <w:lang w:val="en-US" w:eastAsia="zh-CN" w:bidi="ar-SA"/>
        </w:rPr>
        <w:br w:type="page"/>
      </w:r>
      <w:bookmarkStart w:id="48" w:name="_Toc5445"/>
      <w:bookmarkStart w:id="49" w:name="_Toc424397475"/>
      <w:bookmarkStart w:id="50" w:name="_Toc11354"/>
      <w:bookmarkStart w:id="51" w:name="_Toc7509578"/>
      <w:bookmarkStart w:id="52" w:name="_Toc22093"/>
      <w:bookmarkStart w:id="53" w:name="_Toc16339"/>
      <w:r>
        <w:rPr>
          <w:rFonts w:hint="eastAsia" w:ascii="宋体" w:hAnsi="宋体" w:eastAsia="宋体" w:cs="Times New Roman"/>
          <w:b/>
          <w:bCs/>
          <w:color w:val="auto"/>
          <w:kern w:val="2"/>
          <w:sz w:val="28"/>
          <w:szCs w:val="28"/>
          <w:lang w:val="en-US" w:eastAsia="zh-CN" w:bidi="ar-SA"/>
        </w:rPr>
        <w:t>二、法定代表人资格书</w:t>
      </w:r>
      <w:bookmarkEnd w:id="48"/>
      <w:bookmarkEnd w:id="49"/>
      <w:r>
        <w:rPr>
          <w:rFonts w:hint="eastAsia" w:ascii="宋体" w:hAnsi="宋体" w:eastAsia="宋体" w:cs="Times New Roman"/>
          <w:b/>
          <w:bCs/>
          <w:color w:val="auto"/>
          <w:kern w:val="2"/>
          <w:sz w:val="28"/>
          <w:szCs w:val="28"/>
          <w:lang w:val="en-US" w:eastAsia="zh-CN" w:bidi="ar-SA"/>
        </w:rPr>
        <w:t>及承诺书</w:t>
      </w:r>
      <w:bookmarkEnd w:id="50"/>
      <w:bookmarkEnd w:id="51"/>
      <w:bookmarkEnd w:id="52"/>
      <w:bookmarkEnd w:id="53"/>
    </w:p>
    <w:p w14:paraId="11DA176D">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单位名称：</w:t>
      </w:r>
    </w:p>
    <w:p w14:paraId="09804431">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地址：</w:t>
      </w:r>
    </w:p>
    <w:p w14:paraId="59CD6FC6">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姓名：             性别：          年龄：          职务：</w:t>
      </w:r>
    </w:p>
    <w:p w14:paraId="30A3A8AB">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系</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 的法定代表人。为施工、竣工和保修</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的工程，签署上述工程的投标文件、进行合同谈判、签署合同和处理与之有关的一切事务。</w:t>
      </w:r>
    </w:p>
    <w:p w14:paraId="328927AB">
      <w:pPr>
        <w:widowControl w:val="0"/>
        <w:adjustRightInd w:val="0"/>
        <w:snapToGrid w:val="0"/>
        <w:spacing w:line="360" w:lineRule="auto"/>
        <w:jc w:val="both"/>
        <w:rPr>
          <w:rFonts w:ascii="宋体" w:hAnsi="宋体" w:eastAsia="宋体" w:cs="Times New Roman"/>
          <w:color w:val="auto"/>
          <w:kern w:val="2"/>
          <w:sz w:val="21"/>
          <w:szCs w:val="21"/>
          <w:lang w:val="en-US" w:eastAsia="zh-CN" w:bidi="ar-SA"/>
        </w:rPr>
      </w:pPr>
    </w:p>
    <w:p w14:paraId="6461648A">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特此证明。</w:t>
      </w:r>
    </w:p>
    <w:p w14:paraId="5C8222EF">
      <w:pPr>
        <w:widowControl w:val="0"/>
        <w:adjustRightInd w:val="0"/>
        <w:snapToGrid w:val="0"/>
        <w:spacing w:line="360" w:lineRule="auto"/>
        <w:jc w:val="center"/>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 xml:space="preserve">                                 承包人：(盖章)</w:t>
      </w:r>
    </w:p>
    <w:p w14:paraId="1FD2576D">
      <w:pPr>
        <w:widowControl w:val="0"/>
        <w:adjustRightInd w:val="0"/>
        <w:snapToGrid w:val="0"/>
        <w:spacing w:line="360" w:lineRule="auto"/>
        <w:jc w:val="both"/>
        <w:rPr>
          <w:rFonts w:ascii="宋体" w:hAnsi="宋体" w:eastAsia="宋体" w:cs="Times New Roman"/>
          <w:color w:val="auto"/>
          <w:kern w:val="2"/>
          <w:sz w:val="21"/>
          <w:szCs w:val="21"/>
          <w:lang w:val="en-US" w:eastAsia="zh-CN" w:bidi="ar-SA"/>
        </w:rPr>
      </w:pPr>
    </w:p>
    <w:p w14:paraId="2B5D8BEF">
      <w:pPr>
        <w:widowControl w:val="0"/>
        <w:adjustRightInd w:val="0"/>
        <w:snapToGrid w:val="0"/>
        <w:spacing w:line="360" w:lineRule="auto"/>
        <w:jc w:val="center"/>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 xml:space="preserve">                                       日期：</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年 </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月</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日</w:t>
      </w:r>
    </w:p>
    <w:p w14:paraId="1C253980">
      <w:pPr>
        <w:widowControl w:val="0"/>
        <w:adjustRightInd w:val="0"/>
        <w:snapToGrid w:val="0"/>
        <w:spacing w:line="360" w:lineRule="auto"/>
        <w:jc w:val="both"/>
        <w:rPr>
          <w:rFonts w:ascii="宋体" w:hAnsi="宋体" w:eastAsia="宋体" w:cs="Times New Roman"/>
          <w:color w:val="auto"/>
          <w:kern w:val="2"/>
          <w:sz w:val="21"/>
          <w:szCs w:val="21"/>
          <w:lang w:val="en-US" w:eastAsia="zh-CN" w:bidi="ar-SA"/>
        </w:rPr>
      </w:pPr>
    </w:p>
    <w:p w14:paraId="110CB5B9">
      <w:pPr>
        <w:jc w:val="center"/>
        <w:rPr>
          <w:rFonts w:ascii="宋体" w:hAnsi="宋体" w:eastAsia="宋体" w:cs="Times New Roman"/>
          <w:bCs/>
          <w:color w:val="auto"/>
          <w:sz w:val="22"/>
          <w:szCs w:val="22"/>
        </w:rPr>
      </w:pPr>
    </w:p>
    <w:p w14:paraId="1328AD7E">
      <w:pPr>
        <w:jc w:val="center"/>
        <w:rPr>
          <w:rFonts w:ascii="宋体" w:hAnsi="宋体" w:eastAsia="宋体" w:cs="Times New Roman"/>
          <w:b/>
          <w:color w:val="auto"/>
          <w:sz w:val="28"/>
          <w:szCs w:val="28"/>
        </w:rPr>
      </w:pPr>
      <w:r>
        <w:rPr>
          <w:rFonts w:hint="eastAsia" w:ascii="宋体" w:hAnsi="宋体" w:eastAsia="宋体" w:cs="Times New Roman"/>
          <w:bCs/>
          <w:color w:val="auto"/>
          <w:sz w:val="22"/>
          <w:szCs w:val="22"/>
        </w:rPr>
        <w:t>附法定代表人身份证复印件（正反面）</w:t>
      </w:r>
      <w:r>
        <w:rPr>
          <w:rFonts w:hint="eastAsia" w:ascii="宋体" w:hAnsi="宋体" w:eastAsia="宋体" w:cs="Times New Roman"/>
          <w:b/>
          <w:color w:val="auto"/>
          <w:sz w:val="28"/>
          <w:szCs w:val="28"/>
        </w:rPr>
        <w:br w:type="page"/>
      </w:r>
      <w:bookmarkStart w:id="54" w:name="_Toc25746"/>
      <w:r>
        <w:rPr>
          <w:rFonts w:hint="eastAsia" w:ascii="宋体" w:hAnsi="宋体" w:eastAsia="宋体" w:cs="Times New Roman"/>
          <w:b/>
          <w:color w:val="auto"/>
          <w:sz w:val="28"/>
          <w:szCs w:val="28"/>
        </w:rPr>
        <w:t>投标承诺书</w:t>
      </w:r>
      <w:bookmarkEnd w:id="54"/>
    </w:p>
    <w:p w14:paraId="7AF0143A">
      <w:pPr>
        <w:jc w:val="center"/>
        <w:rPr>
          <w:rFonts w:ascii="宋体" w:hAnsi="宋体" w:eastAsia="宋体" w:cs="Times New Roman"/>
          <w:b/>
          <w:color w:val="auto"/>
          <w:sz w:val="28"/>
          <w:szCs w:val="28"/>
        </w:rPr>
      </w:pPr>
    </w:p>
    <w:p w14:paraId="65568BD2">
      <w:pPr>
        <w:jc w:val="center"/>
        <w:rPr>
          <w:rFonts w:ascii="宋体" w:hAnsi="宋体" w:eastAsia="宋体" w:cs="Times New Roman"/>
          <w:b/>
          <w:color w:val="auto"/>
          <w:szCs w:val="21"/>
        </w:rPr>
      </w:pPr>
    </w:p>
    <w:p w14:paraId="1AEB5082">
      <w:pPr>
        <w:ind w:firstLine="211" w:firstLineChars="100"/>
        <w:rPr>
          <w:rFonts w:ascii="宋体" w:hAnsi="宋体" w:eastAsia="宋体" w:cs="宋体"/>
          <w:b/>
          <w:color w:val="auto"/>
          <w:szCs w:val="21"/>
          <w:u w:val="single"/>
        </w:rPr>
      </w:pPr>
      <w:r>
        <w:rPr>
          <w:rFonts w:hint="eastAsia" w:ascii="宋体" w:hAnsi="宋体" w:eastAsia="宋体" w:cs="宋体"/>
          <w:b/>
          <w:color w:val="auto"/>
          <w:szCs w:val="21"/>
        </w:rPr>
        <w:t xml:space="preserve">本人 </w:t>
      </w:r>
      <w:r>
        <w:rPr>
          <w:rFonts w:hint="eastAsia" w:ascii="宋体" w:hAnsi="宋体" w:eastAsia="宋体" w:cs="宋体"/>
          <w:b/>
          <w:color w:val="auto"/>
          <w:szCs w:val="21"/>
          <w:u w:val="single"/>
        </w:rPr>
        <w:t xml:space="preserve">       </w:t>
      </w:r>
      <w:r>
        <w:rPr>
          <w:rFonts w:hint="eastAsia" w:ascii="宋体" w:hAnsi="宋体" w:eastAsia="宋体" w:cs="宋体"/>
          <w:b/>
          <w:color w:val="auto"/>
          <w:szCs w:val="21"/>
        </w:rPr>
        <w:t xml:space="preserve"> (法定代表人)，身份证号码：</w:t>
      </w:r>
      <w:r>
        <w:rPr>
          <w:rFonts w:hint="eastAsia" w:ascii="宋体" w:hAnsi="宋体" w:eastAsia="宋体" w:cs="宋体"/>
          <w:b/>
          <w:color w:val="auto"/>
          <w:szCs w:val="21"/>
          <w:u w:val="single"/>
        </w:rPr>
        <w:t xml:space="preserve">                        </w:t>
      </w:r>
    </w:p>
    <w:p w14:paraId="7061AA3E">
      <w:pPr>
        <w:rPr>
          <w:rFonts w:ascii="宋体" w:hAnsi="宋体" w:eastAsia="宋体" w:cs="宋体"/>
          <w:b/>
          <w:color w:val="auto"/>
          <w:szCs w:val="21"/>
        </w:rPr>
      </w:pPr>
      <w:r>
        <w:rPr>
          <w:rFonts w:hint="eastAsia" w:ascii="宋体" w:hAnsi="宋体" w:eastAsia="宋体" w:cs="宋体"/>
          <w:b/>
          <w:color w:val="auto"/>
          <w:szCs w:val="21"/>
        </w:rPr>
        <w:t xml:space="preserve">     </w:t>
      </w:r>
    </w:p>
    <w:p w14:paraId="5570F11E">
      <w:pPr>
        <w:rPr>
          <w:rFonts w:ascii="宋体" w:hAnsi="宋体" w:eastAsia="宋体" w:cs="宋体"/>
          <w:b/>
          <w:color w:val="auto"/>
          <w:szCs w:val="21"/>
        </w:rPr>
      </w:pPr>
      <w:r>
        <w:rPr>
          <w:rFonts w:hint="eastAsia" w:ascii="宋体" w:hAnsi="宋体" w:eastAsia="宋体" w:cs="宋体"/>
          <w:b/>
          <w:color w:val="auto"/>
          <w:szCs w:val="21"/>
        </w:rPr>
        <w:t xml:space="preserve">  郑重声明：</w:t>
      </w:r>
    </w:p>
    <w:p w14:paraId="4524A82E">
      <w:pPr>
        <w:spacing w:line="360" w:lineRule="auto"/>
        <w:ind w:firstLine="411" w:firstLineChars="196"/>
        <w:rPr>
          <w:rFonts w:ascii="宋体" w:hAnsi="宋体" w:eastAsia="宋体" w:cs="宋体"/>
          <w:bCs/>
          <w:color w:val="auto"/>
          <w:szCs w:val="21"/>
        </w:rPr>
      </w:pPr>
    </w:p>
    <w:p w14:paraId="313403BD">
      <w:pPr>
        <w:spacing w:line="360" w:lineRule="auto"/>
        <w:ind w:firstLine="411" w:firstLineChars="196"/>
        <w:rPr>
          <w:rFonts w:ascii="宋体" w:hAnsi="宋体" w:eastAsia="宋体" w:cs="宋体"/>
          <w:color w:val="auto"/>
          <w:szCs w:val="21"/>
        </w:rPr>
      </w:pPr>
      <w:r>
        <w:rPr>
          <w:rFonts w:hint="eastAsia" w:ascii="宋体" w:hAnsi="宋体" w:eastAsia="宋体" w:cs="宋体"/>
          <w:bCs/>
          <w:color w:val="auto"/>
          <w:szCs w:val="21"/>
        </w:rPr>
        <w:t>1、</w:t>
      </w:r>
      <w:r>
        <w:rPr>
          <w:rFonts w:hint="eastAsia" w:ascii="宋体" w:hAnsi="宋体" w:eastAsia="宋体" w:cs="宋体"/>
          <w:color w:val="auto"/>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14:paraId="1B5A6B18">
      <w:pPr>
        <w:spacing w:line="360" w:lineRule="auto"/>
        <w:ind w:firstLine="411" w:firstLineChars="196"/>
        <w:rPr>
          <w:rFonts w:ascii="宋体" w:hAnsi="宋体" w:eastAsia="宋体" w:cs="宋体"/>
          <w:color w:val="auto"/>
          <w:szCs w:val="21"/>
        </w:rPr>
      </w:pPr>
      <w:r>
        <w:rPr>
          <w:rFonts w:hint="eastAsia" w:ascii="宋体" w:hAnsi="宋体" w:eastAsia="宋体" w:cs="宋体"/>
          <w:color w:val="auto"/>
          <w:szCs w:val="21"/>
        </w:rPr>
        <w:t>2、本企业已认真阅读本项目招标公告、招标文件及</w:t>
      </w:r>
      <w:r>
        <w:rPr>
          <w:rFonts w:hint="eastAsia" w:ascii="宋体" w:hAnsi="宋体" w:eastAsia="宋体" w:cs="宋体"/>
          <w:color w:val="auto"/>
          <w:szCs w:val="21"/>
          <w:u w:val="single"/>
        </w:rPr>
        <w:t>常建[2008]58号文、常建规[2010]13号文</w:t>
      </w:r>
      <w:r>
        <w:rPr>
          <w:rFonts w:hint="eastAsia" w:ascii="宋体" w:hAnsi="宋体" w:eastAsia="宋体" w:cs="宋体"/>
          <w:color w:val="auto"/>
          <w:szCs w:val="21"/>
        </w:rPr>
        <w:t>等相关文件、法律、法规、规章。如有违反上述文件的相关条款， 本单位愿接受本项目招标人、建设行政主管部门、其他相关部门依据上述文件作出的处理。</w:t>
      </w:r>
    </w:p>
    <w:p w14:paraId="205ED06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3、本企业具有独立订立合同的能力；未处于被责令停业，投标资格被取消的状态；企业没有因骗取中标或者严重违约以及发生重大工程质量、安全事故等暂停投标资格并处在暂停期内。</w:t>
      </w:r>
    </w:p>
    <w:p w14:paraId="0CBF598E">
      <w:pPr>
        <w:spacing w:line="360" w:lineRule="auto"/>
        <w:ind w:firstLine="411" w:firstLineChars="196"/>
        <w:rPr>
          <w:rFonts w:ascii="宋体" w:hAnsi="宋体" w:eastAsia="宋体" w:cs="宋体"/>
          <w:color w:val="auto"/>
          <w:szCs w:val="21"/>
        </w:rPr>
      </w:pPr>
    </w:p>
    <w:p w14:paraId="4257DB98">
      <w:pPr>
        <w:spacing w:line="360" w:lineRule="auto"/>
        <w:ind w:firstLine="411" w:firstLineChars="196"/>
        <w:rPr>
          <w:rFonts w:ascii="宋体" w:hAnsi="宋体" w:eastAsia="宋体" w:cs="宋体"/>
          <w:color w:val="auto"/>
          <w:szCs w:val="21"/>
        </w:rPr>
      </w:pPr>
      <w:r>
        <w:rPr>
          <w:rFonts w:hint="eastAsia" w:ascii="宋体" w:hAnsi="宋体" w:eastAsia="宋体" w:cs="宋体"/>
          <w:color w:val="auto"/>
          <w:szCs w:val="21"/>
        </w:rPr>
        <w:t>公  章：</w:t>
      </w:r>
    </w:p>
    <w:p w14:paraId="5DE2A616">
      <w:pPr>
        <w:spacing w:line="360" w:lineRule="auto"/>
        <w:ind w:firstLine="411" w:firstLineChars="196"/>
        <w:rPr>
          <w:rFonts w:ascii="宋体" w:hAnsi="宋体" w:eastAsia="宋体" w:cs="宋体"/>
          <w:color w:val="auto"/>
          <w:szCs w:val="21"/>
        </w:rPr>
      </w:pPr>
    </w:p>
    <w:p w14:paraId="121B6361">
      <w:pPr>
        <w:spacing w:line="360" w:lineRule="auto"/>
        <w:ind w:firstLine="411" w:firstLineChars="196"/>
        <w:rPr>
          <w:rFonts w:ascii="宋体" w:hAnsi="宋体" w:eastAsia="宋体" w:cs="宋体"/>
          <w:color w:val="auto"/>
          <w:szCs w:val="21"/>
        </w:rPr>
      </w:pPr>
    </w:p>
    <w:p w14:paraId="21DC0896">
      <w:pPr>
        <w:spacing w:line="360" w:lineRule="auto"/>
        <w:ind w:firstLine="411" w:firstLineChars="196"/>
        <w:rPr>
          <w:rFonts w:ascii="宋体" w:hAnsi="宋体" w:eastAsia="宋体" w:cs="宋体"/>
          <w:color w:val="auto"/>
          <w:szCs w:val="21"/>
        </w:rPr>
      </w:pPr>
      <w:r>
        <w:rPr>
          <w:rFonts w:hint="eastAsia" w:ascii="宋体" w:hAnsi="宋体" w:eastAsia="宋体" w:cs="宋体"/>
          <w:color w:val="auto"/>
          <w:szCs w:val="21"/>
        </w:rPr>
        <w:t>企业法定代表人（</w:t>
      </w:r>
      <w:r>
        <w:rPr>
          <w:rFonts w:hint="eastAsia" w:ascii="宋体" w:hAnsi="宋体" w:eastAsia="宋体" w:cs="Times New Roman"/>
          <w:color w:val="auto"/>
          <w:szCs w:val="21"/>
        </w:rPr>
        <w:t>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r>
        <w:rPr>
          <w:rFonts w:hint="eastAsia" w:ascii="宋体" w:hAnsi="宋体" w:eastAsia="宋体" w:cs="宋体"/>
          <w:color w:val="auto"/>
          <w:szCs w:val="21"/>
          <w:u w:val="single"/>
        </w:rPr>
        <w:tab/>
      </w:r>
    </w:p>
    <w:p w14:paraId="31F7D9F6">
      <w:pPr>
        <w:spacing w:line="360" w:lineRule="auto"/>
        <w:ind w:firstLine="420" w:firstLineChars="200"/>
        <w:rPr>
          <w:rFonts w:ascii="宋体" w:hAnsi="宋体" w:eastAsia="宋体" w:cs="宋体"/>
          <w:color w:val="auto"/>
          <w:szCs w:val="21"/>
        </w:rPr>
      </w:pPr>
    </w:p>
    <w:p w14:paraId="0BFAAA27">
      <w:pPr>
        <w:spacing w:line="360" w:lineRule="auto"/>
        <w:ind w:firstLine="420" w:firstLineChars="200"/>
        <w:rPr>
          <w:rFonts w:ascii="宋体" w:hAnsi="宋体" w:eastAsia="宋体" w:cs="宋体"/>
          <w:color w:val="auto"/>
          <w:szCs w:val="21"/>
        </w:rPr>
      </w:pPr>
    </w:p>
    <w:p w14:paraId="19094E1E">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C521F91">
      <w:pPr>
        <w:widowControl w:val="0"/>
        <w:adjustRightInd w:val="0"/>
        <w:snapToGrid w:val="0"/>
        <w:spacing w:line="360" w:lineRule="auto"/>
        <w:jc w:val="center"/>
        <w:rPr>
          <w:rFonts w:ascii="宋体" w:hAnsi="宋体" w:eastAsia="宋体" w:cs="Times New Roman"/>
          <w:color w:val="auto"/>
          <w:kern w:val="2"/>
          <w:sz w:val="24"/>
          <w:szCs w:val="24"/>
          <w:lang w:val="en-US" w:eastAsia="zh-CN" w:bidi="ar-SA"/>
        </w:rPr>
      </w:pPr>
    </w:p>
    <w:p w14:paraId="0F5526E4">
      <w:pPr>
        <w:widowControl w:val="0"/>
        <w:adjustRightInd w:val="0"/>
        <w:snapToGrid w:val="0"/>
        <w:spacing w:line="360" w:lineRule="auto"/>
        <w:jc w:val="both"/>
        <w:rPr>
          <w:rFonts w:ascii="宋体" w:hAnsi="宋体" w:eastAsia="宋体" w:cs="Times New Roman"/>
          <w:color w:val="auto"/>
          <w:kern w:val="2"/>
          <w:sz w:val="24"/>
          <w:szCs w:val="24"/>
          <w:lang w:val="en-US" w:eastAsia="zh-CN" w:bidi="ar-SA"/>
        </w:rPr>
      </w:pPr>
    </w:p>
    <w:p w14:paraId="708051E1">
      <w:pPr>
        <w:widowControl w:val="0"/>
        <w:adjustRightInd w:val="0"/>
        <w:snapToGrid w:val="0"/>
        <w:spacing w:line="360" w:lineRule="auto"/>
        <w:jc w:val="both"/>
        <w:rPr>
          <w:rFonts w:ascii="宋体" w:hAnsi="宋体" w:eastAsia="宋体" w:cs="Times New Roman"/>
          <w:color w:val="auto"/>
          <w:kern w:val="2"/>
          <w:sz w:val="24"/>
          <w:szCs w:val="24"/>
          <w:lang w:val="en-US" w:eastAsia="zh-CN" w:bidi="ar-SA"/>
        </w:rPr>
      </w:pPr>
    </w:p>
    <w:p w14:paraId="508C4388">
      <w:pPr>
        <w:widowControl w:val="0"/>
        <w:adjustRightInd w:val="0"/>
        <w:snapToGrid w:val="0"/>
        <w:spacing w:line="360" w:lineRule="auto"/>
        <w:ind w:firstLine="3840"/>
        <w:jc w:val="both"/>
        <w:rPr>
          <w:rFonts w:ascii="宋体" w:hAnsi="宋体" w:eastAsia="宋体" w:cs="Times New Roman"/>
          <w:color w:val="auto"/>
          <w:kern w:val="2"/>
          <w:sz w:val="24"/>
          <w:szCs w:val="24"/>
          <w:lang w:val="en-US" w:eastAsia="zh-CN" w:bidi="ar-SA"/>
        </w:rPr>
      </w:pPr>
      <w:bookmarkStart w:id="55" w:name="_Toc4433"/>
      <w:bookmarkStart w:id="56" w:name="_Toc424397476"/>
    </w:p>
    <w:p w14:paraId="059C1B28">
      <w:pPr>
        <w:widowControl w:val="0"/>
        <w:adjustRightInd w:val="0"/>
        <w:snapToGrid w:val="0"/>
        <w:spacing w:line="360" w:lineRule="auto"/>
        <w:jc w:val="center"/>
        <w:rPr>
          <w:rFonts w:ascii="宋体" w:hAnsi="宋体" w:eastAsia="宋体" w:cs="Times New Roman"/>
          <w:color w:val="auto"/>
          <w:kern w:val="2"/>
          <w:sz w:val="24"/>
          <w:szCs w:val="24"/>
          <w:lang w:val="en-US" w:eastAsia="zh-CN" w:bidi="ar-SA"/>
        </w:rPr>
      </w:pPr>
      <w:bookmarkStart w:id="57" w:name="_Toc24327"/>
      <w:bookmarkStart w:id="58" w:name="_Toc524"/>
      <w:r>
        <w:rPr>
          <w:rFonts w:hint="eastAsia" w:ascii="宋体" w:hAnsi="宋体" w:eastAsia="宋体" w:cs="Times New Roman"/>
          <w:color w:val="auto"/>
          <w:kern w:val="2"/>
          <w:sz w:val="24"/>
          <w:szCs w:val="24"/>
          <w:lang w:val="en-US" w:eastAsia="zh-CN" w:bidi="ar-SA"/>
        </w:rPr>
        <w:br w:type="page"/>
      </w:r>
      <w:bookmarkStart w:id="59" w:name="_Toc7838"/>
      <w:bookmarkStart w:id="60" w:name="_Toc7509579"/>
      <w:bookmarkStart w:id="61" w:name="_Toc11543"/>
      <w:r>
        <w:rPr>
          <w:rFonts w:hint="eastAsia" w:ascii="宋体" w:hAnsi="宋体" w:eastAsia="宋体" w:cs="Times New Roman"/>
          <w:b/>
          <w:bCs/>
          <w:color w:val="auto"/>
          <w:kern w:val="2"/>
          <w:sz w:val="28"/>
          <w:szCs w:val="28"/>
          <w:lang w:val="en-US" w:eastAsia="zh-CN" w:bidi="ar-SA"/>
        </w:rPr>
        <w:t>三、授权委托书</w:t>
      </w:r>
      <w:bookmarkEnd w:id="55"/>
      <w:bookmarkEnd w:id="56"/>
      <w:bookmarkEnd w:id="57"/>
      <w:bookmarkEnd w:id="58"/>
      <w:bookmarkEnd w:id="59"/>
      <w:bookmarkEnd w:id="60"/>
      <w:bookmarkEnd w:id="61"/>
    </w:p>
    <w:p w14:paraId="7605ADA2">
      <w:pPr>
        <w:widowControl w:val="0"/>
        <w:adjustRightInd w:val="0"/>
        <w:snapToGrid w:val="0"/>
        <w:spacing w:line="360" w:lineRule="auto"/>
        <w:jc w:val="both"/>
        <w:rPr>
          <w:rFonts w:ascii="宋体" w:hAnsi="宋体" w:eastAsia="宋体" w:cs="Times New Roman"/>
          <w:color w:val="auto"/>
          <w:kern w:val="2"/>
          <w:sz w:val="21"/>
          <w:szCs w:val="21"/>
          <w:lang w:val="en-US" w:eastAsia="zh-CN" w:bidi="ar-SA"/>
        </w:rPr>
      </w:pPr>
    </w:p>
    <w:p w14:paraId="0CDB385E">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本授权委托书声明：我</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 (姓名)系</w:t>
      </w:r>
      <w:r>
        <w:rPr>
          <w:rFonts w:hint="eastAsia" w:ascii="宋体" w:hAnsi="宋体" w:eastAsia="宋体" w:cs="Times New Roman"/>
          <w:color w:val="auto"/>
          <w:kern w:val="2"/>
          <w:sz w:val="21"/>
          <w:szCs w:val="21"/>
          <w:u w:val="single"/>
          <w:lang w:val="en-US" w:eastAsia="zh-CN" w:bidi="ar-SA"/>
        </w:rPr>
        <w:t xml:space="preserve">    </w:t>
      </w:r>
      <w:r>
        <w:rPr>
          <w:rFonts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 xml:space="preserve">(承包人名称)的法定代表人，现授权委托 </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（单位名称）的</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(姓名)为我公司代理人，参加</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(招标人)的</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工程的投标活动。代理人在投标、开标、评标、合同谈判过程中所签署的一切文件和处理与之有关的一切事务，我均予以承认。</w:t>
      </w:r>
    </w:p>
    <w:p w14:paraId="646667D1">
      <w:pPr>
        <w:widowControl w:val="0"/>
        <w:adjustRightInd w:val="0"/>
        <w:snapToGrid w:val="0"/>
        <w:spacing w:line="360" w:lineRule="auto"/>
        <w:jc w:val="both"/>
        <w:rPr>
          <w:rFonts w:ascii="宋体" w:hAnsi="宋体" w:eastAsia="宋体" w:cs="Times New Roman"/>
          <w:color w:val="auto"/>
          <w:kern w:val="2"/>
          <w:sz w:val="21"/>
          <w:szCs w:val="21"/>
          <w:lang w:val="en-US" w:eastAsia="zh-CN" w:bidi="ar-SA"/>
        </w:rPr>
      </w:pPr>
    </w:p>
    <w:p w14:paraId="72B2B9B9">
      <w:pPr>
        <w:widowControl w:val="0"/>
        <w:adjustRightInd w:val="0"/>
        <w:snapToGrid w:val="0"/>
        <w:spacing w:line="360" w:lineRule="auto"/>
        <w:ind w:left="412"/>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代理人无转委权。特此委托。</w:t>
      </w:r>
      <w:r>
        <w:rPr>
          <w:rFonts w:hint="eastAsia" w:ascii="宋体" w:hAnsi="宋体" w:eastAsia="宋体" w:cs="Times New Roman"/>
          <w:color w:val="auto"/>
          <w:kern w:val="2"/>
          <w:sz w:val="21"/>
          <w:szCs w:val="21"/>
          <w:lang w:val="en-US" w:eastAsia="zh-CN" w:bidi="ar-SA"/>
        </w:rPr>
        <w:cr/>
      </w:r>
      <w:r>
        <w:rPr>
          <w:rFonts w:hint="eastAsia" w:ascii="宋体" w:hAnsi="宋体" w:eastAsia="宋体" w:cs="Times New Roman"/>
          <w:color w:val="auto"/>
          <w:kern w:val="2"/>
          <w:sz w:val="21"/>
          <w:szCs w:val="21"/>
          <w:lang w:val="en-US" w:eastAsia="zh-CN" w:bidi="ar-SA"/>
        </w:rPr>
        <w:t>代理人：          性别：                 年龄：</w:t>
      </w:r>
    </w:p>
    <w:p w14:paraId="545C32B4">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单位：               部门：               职务：</w:t>
      </w:r>
    </w:p>
    <w:p w14:paraId="7B96A592">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承包人：(盖章)</w:t>
      </w:r>
    </w:p>
    <w:p w14:paraId="152F8319">
      <w:pPr>
        <w:widowControl w:val="0"/>
        <w:adjustRightInd w:val="0"/>
        <w:snapToGrid w:val="0"/>
        <w:spacing w:line="360" w:lineRule="auto"/>
        <w:ind w:firstLine="42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法定代表人：(签字或盖章)</w:t>
      </w:r>
    </w:p>
    <w:p w14:paraId="469144D8">
      <w:pPr>
        <w:widowControl w:val="0"/>
        <w:adjustRightInd w:val="0"/>
        <w:snapToGrid w:val="0"/>
        <w:spacing w:line="360" w:lineRule="auto"/>
        <w:ind w:firstLine="420" w:firstLineChars="200"/>
        <w:jc w:val="both"/>
        <w:rPr>
          <w:rFonts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日期：</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年</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月</w:t>
      </w:r>
      <w:r>
        <w:rPr>
          <w:rFonts w:hint="eastAsia" w:ascii="宋体" w:hAnsi="宋体" w:eastAsia="宋体" w:cs="Times New Roman"/>
          <w:color w:val="auto"/>
          <w:kern w:val="2"/>
          <w:sz w:val="21"/>
          <w:szCs w:val="21"/>
          <w:u w:val="single"/>
          <w:lang w:val="en-US" w:eastAsia="zh-CN" w:bidi="ar-SA"/>
        </w:rPr>
        <w:t xml:space="preserve">   </w:t>
      </w:r>
      <w:r>
        <w:rPr>
          <w:rFonts w:hint="eastAsia" w:ascii="宋体" w:hAnsi="宋体" w:eastAsia="宋体" w:cs="Times New Roman"/>
          <w:color w:val="auto"/>
          <w:kern w:val="2"/>
          <w:sz w:val="21"/>
          <w:szCs w:val="21"/>
          <w:lang w:val="en-US" w:eastAsia="zh-CN" w:bidi="ar-SA"/>
        </w:rPr>
        <w:t>日</w:t>
      </w:r>
    </w:p>
    <w:p w14:paraId="66E2CE1D">
      <w:pPr>
        <w:spacing w:line="360" w:lineRule="auto"/>
        <w:jc w:val="center"/>
        <w:rPr>
          <w:rFonts w:ascii="宋体" w:hAnsi="宋体" w:eastAsia="宋体" w:cs="Times New Roman"/>
          <w:b/>
          <w:bCs/>
          <w:color w:val="auto"/>
          <w:szCs w:val="21"/>
        </w:rPr>
      </w:pPr>
    </w:p>
    <w:p w14:paraId="17947615">
      <w:pPr>
        <w:rPr>
          <w:rFonts w:ascii="宋体" w:hAnsi="宋体" w:eastAsia="宋体" w:cs="Times New Roman"/>
          <w:color w:val="auto"/>
          <w:szCs w:val="21"/>
        </w:rPr>
      </w:pPr>
    </w:p>
    <w:p w14:paraId="2C24B5F5">
      <w:pPr>
        <w:widowControl w:val="0"/>
        <w:adjustRightInd w:val="0"/>
        <w:snapToGrid w:val="0"/>
        <w:spacing w:line="360" w:lineRule="auto"/>
        <w:ind w:firstLine="2420" w:firstLineChars="1100"/>
        <w:jc w:val="both"/>
        <w:rPr>
          <w:rFonts w:ascii="宋体" w:hAnsi="宋体" w:eastAsia="宋体" w:cs="Times New Roman"/>
          <w:color w:val="auto"/>
          <w:kern w:val="2"/>
          <w:sz w:val="24"/>
          <w:szCs w:val="24"/>
          <w:lang w:val="en-US" w:eastAsia="zh-CN" w:bidi="ar-SA"/>
        </w:rPr>
      </w:pPr>
      <w:bookmarkStart w:id="62" w:name="_Toc17859"/>
      <w:bookmarkStart w:id="63" w:name="_Toc424397477"/>
      <w:r>
        <w:rPr>
          <w:rFonts w:hint="eastAsia" w:ascii="宋体" w:hAnsi="宋体" w:eastAsia="宋体" w:cs="Times New Roman"/>
          <w:bCs/>
          <w:color w:val="auto"/>
          <w:kern w:val="2"/>
          <w:sz w:val="22"/>
          <w:szCs w:val="22"/>
          <w:lang w:val="en-US" w:eastAsia="zh-CN" w:bidi="ar-SA"/>
        </w:rPr>
        <w:t>附</w:t>
      </w:r>
      <w:r>
        <w:rPr>
          <w:rFonts w:hint="eastAsia" w:ascii="宋体" w:hAnsi="宋体" w:eastAsia="宋体" w:cs="Times New Roman"/>
          <w:color w:val="auto"/>
          <w:kern w:val="2"/>
          <w:sz w:val="21"/>
          <w:szCs w:val="21"/>
          <w:lang w:val="en-US" w:eastAsia="zh-CN" w:bidi="ar-SA"/>
        </w:rPr>
        <w:t>代理人</w:t>
      </w:r>
      <w:r>
        <w:rPr>
          <w:rFonts w:hint="eastAsia" w:ascii="宋体" w:hAnsi="宋体" w:eastAsia="宋体" w:cs="Times New Roman"/>
          <w:bCs/>
          <w:color w:val="auto"/>
          <w:kern w:val="2"/>
          <w:sz w:val="22"/>
          <w:szCs w:val="22"/>
          <w:lang w:val="en-US" w:eastAsia="zh-CN" w:bidi="ar-SA"/>
        </w:rPr>
        <w:t>身份证复印件（正反面）</w:t>
      </w:r>
      <w:r>
        <w:rPr>
          <w:rFonts w:hint="eastAsia" w:ascii="宋体" w:hAnsi="宋体" w:eastAsia="宋体" w:cs="Times New Roman"/>
          <w:color w:val="auto"/>
          <w:kern w:val="2"/>
          <w:sz w:val="24"/>
          <w:szCs w:val="24"/>
          <w:lang w:val="en-US" w:eastAsia="zh-CN" w:bidi="ar-SA"/>
        </w:rPr>
        <w:br w:type="page"/>
      </w:r>
      <w:bookmarkStart w:id="64" w:name="_Toc398"/>
      <w:bookmarkStart w:id="65" w:name="_Toc897"/>
    </w:p>
    <w:p w14:paraId="795AE37A">
      <w:pPr>
        <w:widowControl w:val="0"/>
        <w:adjustRightInd w:val="0"/>
        <w:snapToGrid w:val="0"/>
        <w:spacing w:line="360" w:lineRule="auto"/>
        <w:jc w:val="center"/>
        <w:rPr>
          <w:rFonts w:ascii="宋体" w:hAnsi="宋体" w:eastAsia="宋体" w:cs="Times New Roman"/>
          <w:b/>
          <w:bCs/>
          <w:color w:val="auto"/>
          <w:kern w:val="2"/>
          <w:sz w:val="28"/>
          <w:szCs w:val="28"/>
          <w:lang w:val="en-US" w:eastAsia="zh-CN" w:bidi="ar-SA"/>
        </w:rPr>
      </w:pPr>
      <w:bookmarkStart w:id="66" w:name="_Toc7509580"/>
      <w:bookmarkStart w:id="67" w:name="_Toc25272"/>
      <w:bookmarkStart w:id="68" w:name="_Toc28920"/>
      <w:r>
        <w:rPr>
          <w:rFonts w:hint="eastAsia" w:ascii="宋体" w:hAnsi="宋体" w:eastAsia="宋体" w:cs="Times New Roman"/>
          <w:b/>
          <w:bCs/>
          <w:color w:val="auto"/>
          <w:kern w:val="2"/>
          <w:sz w:val="28"/>
          <w:szCs w:val="28"/>
          <w:lang w:val="en-US" w:eastAsia="zh-CN" w:bidi="ar-SA"/>
        </w:rPr>
        <w:t>四、投标报价汇总表</w:t>
      </w:r>
      <w:bookmarkEnd w:id="62"/>
      <w:bookmarkEnd w:id="63"/>
      <w:bookmarkEnd w:id="64"/>
      <w:bookmarkEnd w:id="65"/>
      <w:bookmarkEnd w:id="66"/>
      <w:bookmarkEnd w:id="67"/>
      <w:bookmarkEnd w:id="68"/>
    </w:p>
    <w:p w14:paraId="3FC15072">
      <w:pPr>
        <w:spacing w:line="360" w:lineRule="auto"/>
        <w:jc w:val="center"/>
        <w:rPr>
          <w:rFonts w:ascii="宋体" w:hAnsi="宋体" w:eastAsia="宋体" w:cs="宋体"/>
          <w:color w:val="auto"/>
          <w:sz w:val="24"/>
        </w:rPr>
      </w:pPr>
      <w:r>
        <w:rPr>
          <w:rFonts w:hint="eastAsia" w:ascii="宋体" w:hAnsi="宋体" w:eastAsia="宋体" w:cs="宋体"/>
          <w:b/>
          <w:bCs/>
          <w:color w:val="auto"/>
          <w:sz w:val="24"/>
        </w:rPr>
        <w:t>1.报价汇总表</w:t>
      </w:r>
    </w:p>
    <w:tbl>
      <w:tblPr>
        <w:tblStyle w:val="2"/>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14:paraId="6569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14:paraId="35A4B413">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投标单位名称</w:t>
            </w:r>
          </w:p>
        </w:tc>
        <w:tc>
          <w:tcPr>
            <w:tcW w:w="7072" w:type="dxa"/>
            <w:gridSpan w:val="3"/>
            <w:vAlign w:val="center"/>
          </w:tcPr>
          <w:p w14:paraId="6C712486">
            <w:pPr>
              <w:spacing w:line="360" w:lineRule="auto"/>
              <w:rPr>
                <w:rFonts w:ascii="宋体" w:hAnsi="宋体" w:eastAsia="宋体" w:cs="Times New Roman"/>
                <w:color w:val="auto"/>
                <w:szCs w:val="21"/>
              </w:rPr>
            </w:pPr>
          </w:p>
        </w:tc>
      </w:tr>
      <w:tr w14:paraId="237E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14:paraId="3DCED0DA">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投标项目名称</w:t>
            </w:r>
          </w:p>
        </w:tc>
        <w:tc>
          <w:tcPr>
            <w:tcW w:w="7072" w:type="dxa"/>
            <w:gridSpan w:val="3"/>
            <w:vAlign w:val="center"/>
          </w:tcPr>
          <w:p w14:paraId="6EA293CF">
            <w:pPr>
              <w:spacing w:line="360" w:lineRule="auto"/>
              <w:rPr>
                <w:rFonts w:ascii="宋体" w:hAnsi="宋体" w:eastAsia="宋体" w:cs="Times New Roman"/>
                <w:color w:val="auto"/>
                <w:szCs w:val="21"/>
              </w:rPr>
            </w:pPr>
          </w:p>
        </w:tc>
      </w:tr>
      <w:tr w14:paraId="4EA4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14:paraId="0FAA374C">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投标总价</w:t>
            </w:r>
          </w:p>
        </w:tc>
        <w:tc>
          <w:tcPr>
            <w:tcW w:w="2838" w:type="dxa"/>
            <w:vAlign w:val="center"/>
          </w:tcPr>
          <w:p w14:paraId="7A84659E">
            <w:pPr>
              <w:spacing w:line="360" w:lineRule="auto"/>
              <w:rPr>
                <w:rFonts w:ascii="宋体" w:hAnsi="宋体" w:eastAsia="宋体" w:cs="Times New Roman"/>
                <w:color w:val="auto"/>
                <w:szCs w:val="21"/>
              </w:rPr>
            </w:pPr>
          </w:p>
        </w:tc>
        <w:tc>
          <w:tcPr>
            <w:tcW w:w="1800" w:type="dxa"/>
            <w:vAlign w:val="center"/>
          </w:tcPr>
          <w:p w14:paraId="78CDF1F8">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投标工期</w:t>
            </w:r>
          </w:p>
        </w:tc>
        <w:tc>
          <w:tcPr>
            <w:tcW w:w="2434" w:type="dxa"/>
            <w:vAlign w:val="center"/>
          </w:tcPr>
          <w:p w14:paraId="18E8E093">
            <w:pPr>
              <w:spacing w:line="360" w:lineRule="auto"/>
              <w:rPr>
                <w:rFonts w:ascii="宋体" w:hAnsi="宋体" w:eastAsia="宋体" w:cs="Times New Roman"/>
                <w:color w:val="auto"/>
                <w:szCs w:val="21"/>
              </w:rPr>
            </w:pPr>
          </w:p>
        </w:tc>
      </w:tr>
      <w:tr w14:paraId="12E0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14:paraId="60BA908F">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投标质量等级</w:t>
            </w:r>
          </w:p>
        </w:tc>
        <w:tc>
          <w:tcPr>
            <w:tcW w:w="2838" w:type="dxa"/>
            <w:vAlign w:val="center"/>
          </w:tcPr>
          <w:p w14:paraId="665BE686">
            <w:pPr>
              <w:spacing w:line="360" w:lineRule="auto"/>
              <w:rPr>
                <w:rFonts w:ascii="宋体" w:hAnsi="宋体" w:eastAsia="宋体" w:cs="Times New Roman"/>
                <w:color w:val="auto"/>
                <w:szCs w:val="21"/>
              </w:rPr>
            </w:pPr>
          </w:p>
        </w:tc>
        <w:tc>
          <w:tcPr>
            <w:tcW w:w="1800" w:type="dxa"/>
            <w:vAlign w:val="center"/>
          </w:tcPr>
          <w:p w14:paraId="3D7B2BB1">
            <w:pPr>
              <w:spacing w:line="360" w:lineRule="auto"/>
              <w:rPr>
                <w:rFonts w:ascii="宋体" w:hAnsi="宋体" w:eastAsia="宋体" w:cs="Times New Roman"/>
                <w:color w:val="auto"/>
                <w:szCs w:val="21"/>
              </w:rPr>
            </w:pPr>
            <w:r>
              <w:rPr>
                <w:rFonts w:hint="eastAsia" w:ascii="宋体" w:hAnsi="宋体" w:eastAsia="宋体" w:cs="Times New Roman"/>
                <w:color w:val="auto"/>
                <w:szCs w:val="21"/>
              </w:rPr>
              <w:t>项目负责人</w:t>
            </w:r>
          </w:p>
        </w:tc>
        <w:tc>
          <w:tcPr>
            <w:tcW w:w="2434" w:type="dxa"/>
            <w:vAlign w:val="center"/>
          </w:tcPr>
          <w:p w14:paraId="24E172F5">
            <w:pPr>
              <w:spacing w:line="360" w:lineRule="auto"/>
              <w:rPr>
                <w:rFonts w:ascii="宋体" w:hAnsi="宋体" w:eastAsia="宋体" w:cs="Times New Roman"/>
                <w:color w:val="auto"/>
                <w:szCs w:val="21"/>
              </w:rPr>
            </w:pPr>
          </w:p>
        </w:tc>
      </w:tr>
    </w:tbl>
    <w:p w14:paraId="6542E089">
      <w:pPr>
        <w:spacing w:line="360" w:lineRule="auto"/>
        <w:rPr>
          <w:rFonts w:ascii="宋体" w:hAnsi="宋体" w:eastAsia="宋体" w:cs="Times New Roman"/>
          <w:color w:val="auto"/>
          <w:szCs w:val="21"/>
        </w:rPr>
      </w:pPr>
    </w:p>
    <w:p w14:paraId="733255E8">
      <w:pPr>
        <w:spacing w:line="360" w:lineRule="auto"/>
        <w:rPr>
          <w:rFonts w:ascii="宋体" w:hAnsi="宋体" w:eastAsia="宋体" w:cs="Times New Roman"/>
          <w:color w:val="auto"/>
          <w:szCs w:val="21"/>
        </w:rPr>
      </w:pPr>
    </w:p>
    <w:p w14:paraId="27681BF9">
      <w:pPr>
        <w:spacing w:line="360" w:lineRule="auto"/>
        <w:rPr>
          <w:rFonts w:ascii="宋体" w:hAnsi="宋体" w:eastAsia="宋体" w:cs="Times New Roman"/>
          <w:color w:val="auto"/>
          <w:szCs w:val="21"/>
        </w:rPr>
      </w:pPr>
    </w:p>
    <w:p w14:paraId="42D247CC">
      <w:pPr>
        <w:spacing w:line="360" w:lineRule="auto"/>
        <w:rPr>
          <w:rFonts w:ascii="宋体" w:hAnsi="宋体" w:eastAsia="宋体" w:cs="Times New Roman"/>
          <w:color w:val="auto"/>
          <w:szCs w:val="21"/>
        </w:rPr>
      </w:pPr>
      <w:r>
        <w:rPr>
          <w:rFonts w:hint="eastAsia" w:ascii="宋体" w:hAnsi="宋体" w:eastAsia="宋体" w:cs="Times New Roman"/>
          <w:color w:val="auto"/>
          <w:szCs w:val="21"/>
        </w:rPr>
        <w:t>投标人（盖章）：</w:t>
      </w:r>
    </w:p>
    <w:p w14:paraId="6A59570A">
      <w:pPr>
        <w:spacing w:line="360" w:lineRule="auto"/>
        <w:rPr>
          <w:rFonts w:ascii="宋体" w:hAnsi="宋体" w:eastAsia="宋体" w:cs="Times New Roman"/>
          <w:color w:val="auto"/>
          <w:szCs w:val="21"/>
        </w:rPr>
      </w:pPr>
      <w:r>
        <w:rPr>
          <w:rFonts w:hint="eastAsia" w:ascii="宋体" w:hAnsi="宋体" w:eastAsia="宋体" w:cs="Times New Roman"/>
          <w:color w:val="auto"/>
          <w:szCs w:val="21"/>
        </w:rPr>
        <w:t>法定代表人或委托代理人（签字或盖章）：</w:t>
      </w:r>
    </w:p>
    <w:p w14:paraId="41164A19">
      <w:pPr>
        <w:spacing w:line="360" w:lineRule="auto"/>
        <w:rPr>
          <w:rFonts w:ascii="宋体" w:hAnsi="宋体" w:eastAsia="宋体" w:cs="Times New Roman"/>
          <w:color w:val="auto"/>
          <w:szCs w:val="21"/>
        </w:rPr>
      </w:pPr>
      <w:r>
        <w:rPr>
          <w:rFonts w:hint="eastAsia" w:ascii="宋体" w:hAnsi="宋体" w:eastAsia="宋体" w:cs="Times New Roman"/>
          <w:color w:val="auto"/>
          <w:szCs w:val="21"/>
        </w:rPr>
        <w:t>年      月      日</w:t>
      </w:r>
    </w:p>
    <w:p w14:paraId="19EB720B">
      <w:pPr>
        <w:spacing w:line="360" w:lineRule="auto"/>
        <w:jc w:val="center"/>
        <w:rPr>
          <w:rFonts w:ascii="宋体" w:hAnsi="宋体" w:eastAsia="宋体" w:cs="Times New Roman"/>
          <w:b/>
          <w:bCs/>
          <w:color w:val="auto"/>
          <w:sz w:val="24"/>
        </w:rPr>
      </w:pPr>
    </w:p>
    <w:p w14:paraId="577EFBFE">
      <w:pPr>
        <w:spacing w:line="360" w:lineRule="auto"/>
        <w:jc w:val="center"/>
        <w:rPr>
          <w:rFonts w:ascii="宋体" w:hAnsi="宋体" w:eastAsia="宋体" w:cs="Times New Roman"/>
          <w:b/>
          <w:bCs/>
          <w:color w:val="auto"/>
          <w:sz w:val="24"/>
        </w:rPr>
      </w:pPr>
    </w:p>
    <w:p w14:paraId="16DBBEF2">
      <w:pPr>
        <w:spacing w:line="360" w:lineRule="auto"/>
        <w:jc w:val="center"/>
        <w:rPr>
          <w:rFonts w:ascii="宋体" w:hAnsi="宋体" w:eastAsia="宋体" w:cs="Times New Roman"/>
          <w:b/>
          <w:bCs/>
          <w:color w:val="auto"/>
          <w:sz w:val="24"/>
        </w:rPr>
      </w:pPr>
      <w:r>
        <w:rPr>
          <w:rFonts w:hint="eastAsia" w:ascii="宋体" w:hAnsi="宋体" w:eastAsia="宋体" w:cs="Times New Roman"/>
          <w:b/>
          <w:bCs/>
          <w:color w:val="auto"/>
          <w:sz w:val="24"/>
        </w:rPr>
        <w:t>2.其他报价表，根据工程量清单及最高投标限价编制</w:t>
      </w:r>
    </w:p>
    <w:p w14:paraId="575C381D">
      <w:pPr>
        <w:spacing w:line="360" w:lineRule="auto"/>
        <w:jc w:val="center"/>
        <w:rPr>
          <w:rFonts w:ascii="Calibri" w:hAnsi="宋体" w:eastAsia="宋体" w:cs="Times New Roman"/>
          <w:color w:val="auto"/>
          <w:sz w:val="24"/>
          <w:u w:val="single"/>
        </w:rPr>
      </w:pPr>
      <w:r>
        <w:rPr>
          <w:rFonts w:ascii="宋体" w:hAnsi="宋体" w:eastAsia="宋体" w:cs="Times New Roman"/>
          <w:b/>
          <w:bCs/>
          <w:color w:val="auto"/>
          <w:sz w:val="24"/>
        </w:rPr>
        <w:br w:type="page"/>
      </w:r>
    </w:p>
    <w:p w14:paraId="4462EBE4">
      <w:pPr>
        <w:keepNext/>
        <w:keepLines/>
        <w:pageBreakBefore w:val="0"/>
        <w:widowControl w:val="0"/>
        <w:kinsoku/>
        <w:wordWrap/>
        <w:overflowPunct/>
        <w:topLinePunct w:val="0"/>
        <w:autoSpaceDE/>
        <w:autoSpaceDN/>
        <w:bidi w:val="0"/>
        <w:adjustRightInd/>
        <w:snapToGrid/>
        <w:spacing w:before="100" w:beforeLines="0" w:beforeAutospacing="0" w:after="100" w:afterLines="0" w:afterAutospacing="0" w:line="360" w:lineRule="auto"/>
        <w:ind w:firstLine="0" w:firstLineChars="0"/>
        <w:jc w:val="center"/>
        <w:textAlignment w:val="auto"/>
        <w:outlineLvl w:val="0"/>
        <w:rPr>
          <w:rFonts w:ascii="Calibri" w:hAnsi="Calibri" w:eastAsia="宋体" w:cs="Times New Roman"/>
          <w:b/>
          <w:color w:val="auto"/>
          <w:kern w:val="44"/>
          <w:sz w:val="44"/>
          <w:szCs w:val="44"/>
          <w:lang w:val="en-US" w:eastAsia="zh-CN" w:bidi="ar-SA"/>
        </w:rPr>
      </w:pPr>
      <w:bookmarkStart w:id="69" w:name="_Toc21070"/>
      <w:bookmarkStart w:id="70" w:name="_Toc6343"/>
      <w:bookmarkStart w:id="71" w:name="_Toc14252"/>
      <w:bookmarkStart w:id="72" w:name="_Toc17834"/>
      <w:r>
        <w:rPr>
          <w:rFonts w:hint="eastAsia" w:ascii="Calibri" w:hAnsi="Calibri" w:eastAsia="宋体" w:cs="Times New Roman"/>
          <w:b/>
          <w:color w:val="auto"/>
          <w:kern w:val="44"/>
          <w:sz w:val="28"/>
          <w:szCs w:val="28"/>
          <w:lang w:val="en-US" w:eastAsia="zh-CN" w:bidi="ar-SA"/>
        </w:rPr>
        <w:t>第五章 评 标 细 则</w:t>
      </w:r>
      <w:bookmarkEnd w:id="69"/>
      <w:bookmarkEnd w:id="70"/>
      <w:bookmarkEnd w:id="71"/>
      <w:bookmarkEnd w:id="72"/>
    </w:p>
    <w:p w14:paraId="47393673">
      <w:pPr>
        <w:spacing w:line="360" w:lineRule="auto"/>
        <w:rPr>
          <w:rFonts w:ascii="宋体" w:hAnsi="宋体" w:eastAsia="宋体" w:cs="Times New Roman"/>
          <w:color w:val="auto"/>
          <w:szCs w:val="21"/>
        </w:rPr>
      </w:pPr>
      <w:r>
        <w:rPr>
          <w:rFonts w:hint="eastAsia" w:ascii="宋体" w:hAnsi="宋体" w:eastAsia="宋体" w:cs="Times New Roman"/>
          <w:b/>
          <w:color w:val="auto"/>
          <w:szCs w:val="21"/>
        </w:rPr>
        <w:t>一、技术标</w:t>
      </w:r>
      <w:r>
        <w:rPr>
          <w:rFonts w:hint="eastAsia" w:ascii="宋体" w:hAnsi="宋体" w:eastAsia="宋体" w:cs="Times New Roman"/>
          <w:color w:val="auto"/>
          <w:szCs w:val="21"/>
        </w:rPr>
        <w:t>:（不需要）</w:t>
      </w:r>
    </w:p>
    <w:p w14:paraId="76789EFE">
      <w:pPr>
        <w:spacing w:line="360" w:lineRule="auto"/>
        <w:rPr>
          <w:rFonts w:ascii="宋体" w:hAnsi="Calibri" w:eastAsia="宋体" w:cs="Times New Roman"/>
          <w:b/>
          <w:color w:val="auto"/>
          <w:szCs w:val="21"/>
        </w:rPr>
      </w:pPr>
      <w:r>
        <w:rPr>
          <w:rFonts w:hint="eastAsia" w:ascii="宋体" w:hAnsi="Calibri" w:eastAsia="宋体" w:cs="Times New Roman"/>
          <w:b/>
          <w:bCs/>
          <w:color w:val="auto"/>
          <w:szCs w:val="21"/>
        </w:rPr>
        <w:t>二、商务标评审：</w:t>
      </w:r>
    </w:p>
    <w:p w14:paraId="0BFD4497">
      <w:pPr>
        <w:autoSpaceDE w:val="0"/>
        <w:autoSpaceDN w:val="0"/>
        <w:adjustRightInd w:val="0"/>
        <w:spacing w:line="360" w:lineRule="auto"/>
        <w:ind w:firstLine="420" w:firstLineChars="200"/>
        <w:rPr>
          <w:rFonts w:ascii="宋体" w:hAnsi="Calibri" w:eastAsia="宋体" w:cs="Times New Roman"/>
          <w:color w:val="auto"/>
          <w:szCs w:val="21"/>
        </w:rPr>
      </w:pPr>
      <w:r>
        <w:rPr>
          <w:rFonts w:ascii="宋体" w:hAnsi="Calibri" w:eastAsia="宋体" w:cs="Times New Roman"/>
          <w:color w:val="auto"/>
          <w:szCs w:val="21"/>
        </w:rPr>
        <w:t xml:space="preserve">1. 符合性审查，确定有效投标报价。 </w:t>
      </w:r>
    </w:p>
    <w:p w14:paraId="5BA7CB8C">
      <w:pPr>
        <w:autoSpaceDE w:val="0"/>
        <w:autoSpaceDN w:val="0"/>
        <w:adjustRightInd w:val="0"/>
        <w:spacing w:line="360" w:lineRule="auto"/>
        <w:ind w:firstLine="420" w:firstLineChars="200"/>
        <w:rPr>
          <w:rFonts w:ascii="宋体" w:hAnsi="Calibri" w:eastAsia="宋体" w:cs="Times New Roman"/>
          <w:color w:val="auto"/>
          <w:szCs w:val="21"/>
        </w:rPr>
      </w:pPr>
      <w:r>
        <w:rPr>
          <w:rFonts w:ascii="宋体" w:hAnsi="Calibri" w:eastAsia="宋体" w:cs="Times New Roman"/>
          <w:color w:val="auto"/>
          <w:szCs w:val="21"/>
        </w:rPr>
        <w:t>2. 凡符合招标文件、招标答疑纪要等有关招标要求，并且在招标控制</w:t>
      </w:r>
      <w:r>
        <w:rPr>
          <w:rFonts w:hint="eastAsia" w:ascii="宋体" w:hAnsi="Calibri" w:eastAsia="宋体" w:cs="Times New Roman"/>
          <w:color w:val="auto"/>
          <w:szCs w:val="21"/>
        </w:rPr>
        <w:t>总</w:t>
      </w:r>
      <w:r>
        <w:rPr>
          <w:rFonts w:ascii="宋体" w:hAnsi="Calibri" w:eastAsia="宋体" w:cs="Times New Roman"/>
          <w:color w:val="auto"/>
          <w:szCs w:val="21"/>
        </w:rPr>
        <w:t xml:space="preserve">价以下的投标报价均为有效投标报价。高于招标控制价的投标报价为废标。 </w:t>
      </w:r>
    </w:p>
    <w:p w14:paraId="71543E05">
      <w:pPr>
        <w:tabs>
          <w:tab w:val="left" w:pos="720"/>
        </w:tabs>
        <w:spacing w:line="360" w:lineRule="auto"/>
        <w:ind w:left="-94" w:leftChars="-45" w:firstLine="527" w:firstLineChars="250"/>
        <w:rPr>
          <w:rFonts w:ascii="宋体" w:hAnsi="Calibri" w:eastAsia="宋体" w:cs="Times New Roman"/>
          <w:b/>
          <w:color w:val="auto"/>
          <w:szCs w:val="21"/>
        </w:rPr>
      </w:pPr>
      <w:r>
        <w:rPr>
          <w:rFonts w:hint="eastAsia" w:ascii="宋体" w:hAnsi="Calibri" w:eastAsia="宋体" w:cs="Times New Roman"/>
          <w:b/>
          <w:color w:val="auto"/>
          <w:szCs w:val="21"/>
        </w:rPr>
        <w:t>3. 投标报价总价得分（100分）：</w:t>
      </w:r>
    </w:p>
    <w:p w14:paraId="32EEE7FD">
      <w:pPr>
        <w:spacing w:line="360" w:lineRule="auto"/>
        <w:rPr>
          <w:rFonts w:hint="eastAsia" w:ascii="宋体" w:hAnsi="Calibri" w:eastAsia="宋体" w:cs="Times New Roman"/>
          <w:b/>
          <w:bCs/>
          <w:color w:val="auto"/>
          <w:szCs w:val="21"/>
        </w:rPr>
      </w:pPr>
      <w:r>
        <w:rPr>
          <w:rFonts w:hint="eastAsia" w:ascii="宋体" w:hAnsi="Calibri" w:eastAsia="宋体" w:cs="Times New Roman"/>
          <w:b/>
          <w:bCs/>
          <w:color w:val="auto"/>
          <w:szCs w:val="21"/>
          <w:lang w:eastAsia="zh-CN"/>
        </w:rPr>
        <w:t>（</w:t>
      </w:r>
      <w:r>
        <w:rPr>
          <w:rFonts w:hint="eastAsia" w:ascii="宋体" w:hAnsi="Calibri" w:eastAsia="宋体" w:cs="Times New Roman"/>
          <w:b/>
          <w:bCs/>
          <w:color w:val="auto"/>
          <w:szCs w:val="21"/>
          <w:lang w:val="en-US" w:eastAsia="zh-CN"/>
        </w:rPr>
        <w:t>1</w:t>
      </w:r>
      <w:r>
        <w:rPr>
          <w:rFonts w:hint="eastAsia" w:ascii="宋体" w:hAnsi="Calibri" w:eastAsia="宋体" w:cs="Times New Roman"/>
          <w:b/>
          <w:bCs/>
          <w:color w:val="auto"/>
          <w:szCs w:val="21"/>
          <w:lang w:eastAsia="zh-CN"/>
        </w:rPr>
        <w:t>）</w:t>
      </w:r>
      <w:r>
        <w:rPr>
          <w:rFonts w:hint="eastAsia" w:ascii="宋体" w:hAnsi="Calibri" w:eastAsia="宋体" w:cs="Times New Roman"/>
          <w:b/>
          <w:bCs/>
          <w:color w:val="auto"/>
          <w:szCs w:val="21"/>
        </w:rPr>
        <w:t>单因素评标法一：</w:t>
      </w:r>
    </w:p>
    <w:p w14:paraId="16A1F1BF">
      <w:pPr>
        <w:spacing w:line="360" w:lineRule="auto"/>
        <w:ind w:firstLine="420" w:firstLineChars="200"/>
        <w:rPr>
          <w:rFonts w:hint="eastAsia" w:ascii="宋体" w:hAnsi="Calibri" w:eastAsia="宋体" w:cs="Times New Roman"/>
          <w:b/>
          <w:color w:val="auto"/>
          <w:szCs w:val="21"/>
        </w:rPr>
      </w:pPr>
      <w:r>
        <w:rPr>
          <w:rFonts w:hint="eastAsia" w:ascii="宋体" w:hAnsi="Calibri" w:eastAsia="宋体" w:cs="Times New Roman"/>
          <w:color w:val="auto"/>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Calibri" w:eastAsia="宋体" w:cs="Times New Roman"/>
          <w:b/>
          <w:color w:val="auto"/>
          <w:szCs w:val="21"/>
        </w:rPr>
        <w:t>95%、96%、97%、98%</w:t>
      </w:r>
      <w:r>
        <w:rPr>
          <w:rFonts w:hint="eastAsia" w:ascii="宋体" w:hAnsi="Calibri" w:eastAsia="宋体" w:cs="Times New Roman"/>
          <w:color w:val="auto"/>
          <w:szCs w:val="21"/>
        </w:rPr>
        <w:t>。等于评标基准价得最高分（100分），并以此为基准确定其他承包人的价格得分：投标价格高于该基准价的，每高1%扣 0.9分；投标价格低于该基准价的，每低1%扣0.6分。</w:t>
      </w:r>
      <w:r>
        <w:rPr>
          <w:rFonts w:hint="eastAsia" w:ascii="宋体" w:hAnsi="Calibri" w:eastAsia="宋体" w:cs="Times New Roman"/>
          <w:b/>
          <w:color w:val="auto"/>
          <w:szCs w:val="21"/>
        </w:rPr>
        <w:t>[中间用插入法，计算过程及结果保留至小数点后第二位（小数点后第三位四舍五入）]</w:t>
      </w:r>
    </w:p>
    <w:p w14:paraId="67A9196B">
      <w:pPr>
        <w:keepNext w:val="0"/>
        <w:keepLines w:val="0"/>
        <w:pageBreakBefore w:val="0"/>
        <w:widowControl/>
        <w:kinsoku/>
        <w:wordWrap/>
        <w:overflowPunct/>
        <w:topLinePunct w:val="0"/>
        <w:autoSpaceDE/>
        <w:autoSpaceDN/>
        <w:bidi w:val="0"/>
        <w:spacing w:line="400" w:lineRule="exact"/>
        <w:textAlignment w:val="auto"/>
        <w:rPr>
          <w:rFonts w:hint="eastAsia" w:ascii="宋体" w:hAnsi="Calibri" w:eastAsia="宋体" w:cs="Times New Roman"/>
          <w:b/>
          <w:bCs/>
          <w:color w:val="000000"/>
          <w:sz w:val="21"/>
          <w:szCs w:val="21"/>
        </w:rPr>
      </w:pPr>
      <w:r>
        <w:rPr>
          <w:rFonts w:hint="eastAsia" w:ascii="宋体" w:hAnsi="Calibri" w:eastAsia="宋体" w:cs="Times New Roman"/>
          <w:b/>
          <w:bCs/>
          <w:color w:val="000000"/>
          <w:sz w:val="21"/>
          <w:szCs w:val="21"/>
          <w:lang w:eastAsia="zh-CN"/>
        </w:rPr>
        <w:t>（</w:t>
      </w:r>
      <w:r>
        <w:rPr>
          <w:rFonts w:hint="eastAsia" w:ascii="宋体" w:hAnsi="Calibri" w:eastAsia="宋体" w:cs="Times New Roman"/>
          <w:b/>
          <w:bCs/>
          <w:color w:val="000000"/>
          <w:sz w:val="21"/>
          <w:szCs w:val="21"/>
          <w:lang w:val="en-US" w:eastAsia="zh-CN"/>
        </w:rPr>
        <w:t>2</w:t>
      </w:r>
      <w:r>
        <w:rPr>
          <w:rFonts w:hint="eastAsia" w:ascii="宋体" w:hAnsi="Calibri" w:eastAsia="宋体" w:cs="Times New Roman"/>
          <w:b/>
          <w:bCs/>
          <w:color w:val="000000"/>
          <w:sz w:val="21"/>
          <w:szCs w:val="21"/>
          <w:lang w:eastAsia="zh-CN"/>
        </w:rPr>
        <w:t>）</w:t>
      </w:r>
      <w:r>
        <w:rPr>
          <w:rFonts w:hint="eastAsia" w:ascii="宋体" w:hAnsi="Calibri" w:eastAsia="宋体" w:cs="Times New Roman"/>
          <w:b/>
          <w:bCs/>
          <w:color w:val="000000"/>
          <w:sz w:val="21"/>
          <w:szCs w:val="21"/>
        </w:rPr>
        <w:t>单因素评标法</w:t>
      </w:r>
      <w:r>
        <w:rPr>
          <w:rFonts w:hint="eastAsia" w:ascii="宋体" w:hAnsi="Calibri" w:eastAsia="宋体" w:cs="Times New Roman"/>
          <w:b/>
          <w:bCs/>
          <w:color w:val="000000"/>
          <w:sz w:val="21"/>
          <w:szCs w:val="21"/>
          <w:lang w:eastAsia="zh-CN"/>
        </w:rPr>
        <w:t>二</w:t>
      </w:r>
      <w:r>
        <w:rPr>
          <w:rFonts w:hint="eastAsia" w:ascii="宋体" w:hAnsi="Calibri" w:eastAsia="宋体" w:cs="Times New Roman"/>
          <w:b/>
          <w:bCs/>
          <w:color w:val="000000"/>
          <w:sz w:val="21"/>
          <w:szCs w:val="21"/>
        </w:rPr>
        <w:t>：</w:t>
      </w:r>
    </w:p>
    <w:p w14:paraId="1CA2D89B">
      <w:pPr>
        <w:keepNext w:val="0"/>
        <w:keepLines w:val="0"/>
        <w:pageBreakBefore w:val="0"/>
        <w:widowControl/>
        <w:kinsoku/>
        <w:wordWrap/>
        <w:overflowPunct/>
        <w:topLinePunct w:val="0"/>
        <w:autoSpaceDE/>
        <w:autoSpaceDN/>
        <w:bidi w:val="0"/>
        <w:spacing w:line="400" w:lineRule="exact"/>
        <w:ind w:firstLine="480"/>
        <w:textAlignment w:val="auto"/>
        <w:rPr>
          <w:rFonts w:ascii="宋体" w:hAnsi="Calibri" w:eastAsia="宋体" w:cs="Times New Roman"/>
          <w:b/>
          <w:bCs/>
          <w:color w:val="000000"/>
          <w:sz w:val="21"/>
          <w:szCs w:val="21"/>
        </w:rPr>
      </w:pPr>
      <w:r>
        <w:rPr>
          <w:rFonts w:hint="eastAsia" w:ascii="宋体" w:hAnsi="Calibri" w:eastAsia="宋体" w:cs="Times New Roman"/>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Calibri" w:eastAsia="宋体" w:cs="Times New Roman"/>
          <w:color w:val="000000"/>
          <w:sz w:val="21"/>
          <w:szCs w:val="21"/>
          <w:lang w:eastAsia="zh-CN"/>
        </w:rPr>
        <w:t>，招标控制价为</w:t>
      </w:r>
      <w:r>
        <w:rPr>
          <w:rFonts w:hint="eastAsia" w:ascii="宋体" w:hAnsi="Calibri" w:eastAsia="宋体" w:cs="Times New Roman"/>
          <w:color w:val="000000"/>
          <w:sz w:val="21"/>
          <w:szCs w:val="21"/>
          <w:lang w:val="en-US" w:eastAsia="zh-CN"/>
        </w:rPr>
        <w:t>B,则：</w:t>
      </w:r>
      <w:r>
        <w:rPr>
          <w:rFonts w:hint="eastAsia" w:ascii="宋体" w:hAnsi="Calibri" w:eastAsia="宋体" w:cs="Times New Roman"/>
          <w:color w:val="000000"/>
          <w:sz w:val="21"/>
          <w:szCs w:val="21"/>
        </w:rPr>
        <w:t>评标基准价=A×K</w:t>
      </w:r>
      <w:r>
        <w:rPr>
          <w:rFonts w:hint="eastAsia" w:ascii="宋体" w:hAnsi="Calibri" w:eastAsia="宋体" w:cs="Times New Roman"/>
          <w:color w:val="000000"/>
          <w:sz w:val="21"/>
          <w:szCs w:val="21"/>
          <w:lang w:val="en-US" w:eastAsia="zh-CN"/>
        </w:rPr>
        <w:t>1</w:t>
      </w:r>
      <w:r>
        <w:rPr>
          <w:rFonts w:hint="eastAsia" w:ascii="宋体" w:hAnsi="Calibri" w:eastAsia="宋体" w:cs="Times New Roman"/>
          <w:color w:val="000000"/>
          <w:sz w:val="21"/>
          <w:szCs w:val="21"/>
        </w:rPr>
        <w:t>×</w:t>
      </w:r>
      <w:r>
        <w:rPr>
          <w:rFonts w:hint="eastAsia" w:ascii="宋体" w:hAnsi="Calibri" w:eastAsia="宋体" w:cs="Times New Roman"/>
          <w:color w:val="000000"/>
          <w:sz w:val="21"/>
          <w:szCs w:val="21"/>
          <w:lang w:val="en-US" w:eastAsia="zh-CN"/>
        </w:rPr>
        <w:t>Q1+B</w:t>
      </w:r>
      <w:r>
        <w:rPr>
          <w:rFonts w:hint="eastAsia" w:ascii="宋体" w:hAnsi="Calibri" w:eastAsia="宋体" w:cs="Times New Roman"/>
          <w:color w:val="000000"/>
          <w:sz w:val="21"/>
          <w:szCs w:val="21"/>
        </w:rPr>
        <w:t>×</w:t>
      </w:r>
      <w:r>
        <w:rPr>
          <w:rFonts w:hint="eastAsia" w:ascii="宋体" w:hAnsi="Calibri" w:eastAsia="宋体" w:cs="Times New Roman"/>
          <w:color w:val="000000"/>
          <w:sz w:val="21"/>
          <w:szCs w:val="21"/>
          <w:lang w:val="en-US" w:eastAsia="zh-CN"/>
        </w:rPr>
        <w:t>K2</w:t>
      </w:r>
      <w:r>
        <w:rPr>
          <w:rFonts w:hint="eastAsia" w:ascii="宋体" w:hAnsi="Calibri" w:eastAsia="宋体" w:cs="Times New Roman"/>
          <w:color w:val="000000"/>
          <w:sz w:val="21"/>
          <w:szCs w:val="21"/>
        </w:rPr>
        <w:t>×</w:t>
      </w:r>
      <w:r>
        <w:rPr>
          <w:rFonts w:hint="eastAsia" w:ascii="宋体" w:hAnsi="Calibri" w:eastAsia="宋体" w:cs="Times New Roman"/>
          <w:color w:val="000000"/>
          <w:sz w:val="21"/>
          <w:szCs w:val="21"/>
          <w:lang w:val="en-US" w:eastAsia="zh-CN"/>
        </w:rPr>
        <w:t>Q2</w:t>
      </w:r>
      <w:r>
        <w:rPr>
          <w:rFonts w:hint="eastAsia" w:ascii="宋体" w:hAnsi="Calibri" w:eastAsia="宋体" w:cs="Times New Roman"/>
          <w:color w:val="000000"/>
          <w:sz w:val="21"/>
          <w:szCs w:val="21"/>
        </w:rPr>
        <w:t>，</w:t>
      </w:r>
      <w:r>
        <w:rPr>
          <w:rFonts w:hint="eastAsia" w:ascii="宋体" w:hAnsi="Calibri" w:eastAsia="宋体" w:cs="Times New Roman"/>
          <w:color w:val="000000"/>
          <w:sz w:val="21"/>
          <w:szCs w:val="21"/>
          <w:lang w:val="en-US" w:eastAsia="zh-CN"/>
        </w:rPr>
        <w:t>Q2=1-Q1,（Q1取值范围为</w:t>
      </w:r>
      <w:r>
        <w:rPr>
          <w:rFonts w:hint="eastAsia" w:ascii="宋体" w:hAnsi="Calibri" w:eastAsia="宋体" w:cs="Times New Roman"/>
          <w:b/>
          <w:bCs/>
          <w:color w:val="000000"/>
          <w:sz w:val="21"/>
          <w:szCs w:val="21"/>
          <w:lang w:val="en-US" w:eastAsia="zh-CN"/>
        </w:rPr>
        <w:t>65%、70%、75%、80%、85%</w:t>
      </w:r>
      <w:r>
        <w:rPr>
          <w:rFonts w:hint="eastAsia" w:ascii="宋体" w:hAnsi="Calibri" w:eastAsia="宋体" w:cs="Times New Roman"/>
          <w:color w:val="000000"/>
          <w:sz w:val="21"/>
          <w:szCs w:val="21"/>
          <w:lang w:val="en-US" w:eastAsia="zh-CN"/>
        </w:rPr>
        <w:t>；K1的取值范围为</w:t>
      </w:r>
      <w:r>
        <w:rPr>
          <w:rFonts w:hint="eastAsia" w:ascii="宋体" w:hAnsi="Calibri" w:eastAsia="宋体" w:cs="Times New Roman"/>
          <w:b/>
          <w:bCs/>
          <w:color w:val="000000"/>
          <w:sz w:val="21"/>
          <w:szCs w:val="21"/>
          <w:lang w:val="en-US" w:eastAsia="zh-CN"/>
        </w:rPr>
        <w:t>95%、96%、97%、98%</w:t>
      </w:r>
      <w:r>
        <w:rPr>
          <w:rFonts w:hint="eastAsia" w:ascii="宋体" w:hAnsi="Calibri" w:eastAsia="宋体" w:cs="Times New Roman"/>
          <w:color w:val="000000"/>
          <w:sz w:val="21"/>
          <w:szCs w:val="21"/>
          <w:lang w:val="en-US" w:eastAsia="zh-CN"/>
        </w:rPr>
        <w:t>；Q1、</w:t>
      </w:r>
      <w:r>
        <w:rPr>
          <w:rFonts w:hint="eastAsia" w:ascii="宋体" w:hAnsi="Calibri" w:eastAsia="宋体" w:cs="Times New Roman"/>
          <w:color w:val="000000"/>
          <w:sz w:val="21"/>
          <w:szCs w:val="21"/>
        </w:rPr>
        <w:t>K</w:t>
      </w:r>
      <w:r>
        <w:rPr>
          <w:rFonts w:hint="eastAsia" w:ascii="宋体" w:hAnsi="Calibri" w:eastAsia="宋体" w:cs="Times New Roman"/>
          <w:color w:val="000000"/>
          <w:sz w:val="21"/>
          <w:szCs w:val="21"/>
          <w:lang w:val="en-US" w:eastAsia="zh-CN"/>
        </w:rPr>
        <w:t>1</w:t>
      </w:r>
      <w:r>
        <w:rPr>
          <w:rFonts w:hint="eastAsia" w:ascii="宋体" w:hAnsi="Calibri" w:eastAsia="宋体" w:cs="Times New Roman"/>
          <w:color w:val="000000"/>
          <w:sz w:val="21"/>
          <w:szCs w:val="21"/>
        </w:rPr>
        <w:t xml:space="preserve"> 值在清标后由投标人推选的代表随机抽取确定</w:t>
      </w:r>
      <w:r>
        <w:rPr>
          <w:rFonts w:hint="eastAsia" w:ascii="宋体" w:hAnsi="Calibri" w:eastAsia="宋体" w:cs="Times New Roman"/>
          <w:color w:val="000000"/>
          <w:sz w:val="21"/>
          <w:szCs w:val="21"/>
          <w:highlight w:val="none"/>
        </w:rPr>
        <w:t>。</w:t>
      </w:r>
      <w:r>
        <w:rPr>
          <w:rFonts w:hint="eastAsia" w:ascii="宋体" w:hAnsi="Calibri" w:eastAsia="宋体" w:cs="Times New Roman"/>
          <w:color w:val="000000"/>
          <w:sz w:val="21"/>
          <w:szCs w:val="21"/>
          <w:highlight w:val="none"/>
          <w:lang w:val="en-US" w:eastAsia="zh-CN"/>
        </w:rPr>
        <w:t>K2的取值范围为</w:t>
      </w:r>
      <w:r>
        <w:rPr>
          <w:rFonts w:hint="eastAsia" w:ascii="宋体" w:hAnsi="Calibri" w:eastAsia="宋体" w:cs="Times New Roman"/>
          <w:b/>
          <w:bCs/>
          <w:color w:val="000000"/>
          <w:sz w:val="21"/>
          <w:szCs w:val="21"/>
          <w:highlight w:val="none"/>
          <w:lang w:val="en-US" w:eastAsia="zh-CN"/>
        </w:rPr>
        <w:t>100%</w:t>
      </w:r>
      <w:r>
        <w:rPr>
          <w:rFonts w:hint="eastAsia" w:ascii="宋体" w:hAnsi="Calibri" w:eastAsia="宋体" w:cs="Times New Roman"/>
          <w:color w:val="000000"/>
          <w:sz w:val="21"/>
          <w:szCs w:val="21"/>
          <w:highlight w:val="none"/>
          <w:lang w:val="en-US" w:eastAsia="zh-CN"/>
        </w:rPr>
        <w:t>。</w:t>
      </w:r>
      <w:r>
        <w:rPr>
          <w:rFonts w:hint="eastAsia" w:ascii="宋体" w:hAnsi="Calibri" w:eastAsia="宋体" w:cs="Times New Roman"/>
          <w:color w:val="000000"/>
          <w:sz w:val="21"/>
          <w:szCs w:val="21"/>
          <w:highlight w:val="none"/>
        </w:rPr>
        <w:t>等</w:t>
      </w:r>
      <w:r>
        <w:rPr>
          <w:rFonts w:hint="eastAsia" w:ascii="宋体" w:hAnsi="Calibri" w:eastAsia="宋体" w:cs="Times New Roman"/>
          <w:color w:val="000000"/>
          <w:sz w:val="21"/>
          <w:szCs w:val="21"/>
        </w:rPr>
        <w:t>于评标基准价得最高分（</w:t>
      </w:r>
      <w:r>
        <w:rPr>
          <w:rFonts w:hint="eastAsia" w:ascii="宋体" w:hAnsi="Calibri" w:eastAsia="宋体" w:cs="Times New Roman"/>
          <w:color w:val="000000"/>
          <w:sz w:val="21"/>
          <w:szCs w:val="21"/>
          <w:lang w:val="en-US" w:eastAsia="zh-CN"/>
        </w:rPr>
        <w:t>100</w:t>
      </w:r>
      <w:r>
        <w:rPr>
          <w:rFonts w:hint="eastAsia" w:ascii="宋体" w:hAnsi="Calibri" w:eastAsia="宋体" w:cs="Times New Roman"/>
          <w:color w:val="000000"/>
          <w:sz w:val="21"/>
          <w:szCs w:val="21"/>
        </w:rPr>
        <w:t>分）</w:t>
      </w:r>
      <w:r>
        <w:rPr>
          <w:rFonts w:hint="eastAsia" w:ascii="宋体" w:hAnsi="Calibri" w:eastAsia="宋体" w:cs="Times New Roman"/>
          <w:color w:val="000000"/>
          <w:sz w:val="21"/>
          <w:szCs w:val="21"/>
          <w:lang w:val="en-US" w:eastAsia="zh-CN"/>
        </w:rPr>
        <w:t>）</w:t>
      </w:r>
      <w:r>
        <w:rPr>
          <w:rFonts w:hint="eastAsia" w:ascii="宋体" w:hAnsi="Calibri" w:eastAsia="宋体" w:cs="Times New Roman"/>
          <w:color w:val="000000"/>
          <w:sz w:val="21"/>
          <w:szCs w:val="21"/>
        </w:rPr>
        <w:t>，并以此为基准确定其他投标人的价格得分：投标价格高于该基准价的，每高1%扣0.9 分；投标价格低于该基准价的，每低1%扣0.6 分。</w:t>
      </w:r>
      <w:r>
        <w:rPr>
          <w:rFonts w:hint="eastAsia" w:ascii="宋体" w:hAnsi="Calibri" w:eastAsia="宋体" w:cs="Times New Roman"/>
          <w:b/>
          <w:bCs/>
          <w:color w:val="000000"/>
          <w:sz w:val="21"/>
          <w:szCs w:val="21"/>
        </w:rPr>
        <w:t>[中间用插入法，计算过程及结果保留至小数点后第二位（小数点后第三位四舍五入）]。</w:t>
      </w:r>
    </w:p>
    <w:p w14:paraId="37B44D35">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ascii="Calibri" w:hAnsi="Calibri" w:eastAsia="宋体" w:cs="Times New Roman"/>
        </w:rPr>
      </w:pPr>
      <w:r>
        <w:rPr>
          <w:rFonts w:hint="eastAsia" w:ascii="宋体" w:hAnsi="Calibri" w:eastAsia="宋体" w:cs="Times New Roman"/>
          <w:b/>
          <w:bCs/>
          <w:snapToGrid/>
          <w:color w:val="000000"/>
          <w:kern w:val="2"/>
          <w:sz w:val="21"/>
          <w:szCs w:val="21"/>
          <w:lang w:val="en-US" w:eastAsia="zh-CN" w:bidi="ar-SA"/>
        </w:rPr>
        <w:t>以上两种评标办法的选择由招标人在清标后随机抽取。</w:t>
      </w:r>
    </w:p>
    <w:p w14:paraId="3FA1CBB0">
      <w:pPr>
        <w:pageBreakBefore w:val="0"/>
        <w:widowControl w:val="0"/>
        <w:kinsoku/>
        <w:wordWrap/>
        <w:overflowPunct/>
        <w:topLinePunct w:val="0"/>
        <w:autoSpaceDE/>
        <w:autoSpaceDN/>
        <w:bidi w:val="0"/>
        <w:adjustRightInd/>
        <w:snapToGrid/>
        <w:spacing w:before="137" w:beforeLines="50" w:line="360" w:lineRule="auto"/>
        <w:textAlignment w:val="auto"/>
        <w:rPr>
          <w:rFonts w:ascii="宋体" w:hAnsi="Calibri" w:eastAsia="宋体" w:cs="Times New Roman"/>
          <w:b/>
          <w:bCs/>
          <w:color w:val="auto"/>
          <w:szCs w:val="21"/>
        </w:rPr>
      </w:pPr>
      <w:r>
        <w:rPr>
          <w:rFonts w:hint="eastAsia" w:ascii="宋体" w:hAnsi="Calibri" w:eastAsia="宋体" w:cs="Times New Roman"/>
          <w:b/>
          <w:bCs/>
          <w:color w:val="auto"/>
          <w:szCs w:val="21"/>
        </w:rPr>
        <w:t>三、</w:t>
      </w:r>
      <w:r>
        <w:rPr>
          <w:rFonts w:ascii="宋体" w:hAnsi="Calibri" w:eastAsia="宋体" w:cs="Times New Roman"/>
          <w:b/>
          <w:bCs/>
          <w:color w:val="auto"/>
          <w:szCs w:val="21"/>
        </w:rPr>
        <w:t xml:space="preserve">定标 </w:t>
      </w:r>
    </w:p>
    <w:p w14:paraId="2FD42C88">
      <w:pPr>
        <w:autoSpaceDE w:val="0"/>
        <w:autoSpaceDN w:val="0"/>
        <w:adjustRightInd w:val="0"/>
        <w:spacing w:line="360" w:lineRule="auto"/>
        <w:ind w:firstLine="315" w:firstLineChars="150"/>
        <w:rPr>
          <w:rFonts w:ascii="宋体" w:hAnsi="Calibri" w:eastAsia="宋体" w:cs="Times New Roman"/>
          <w:color w:val="auto"/>
          <w:szCs w:val="21"/>
        </w:rPr>
      </w:pPr>
      <w:r>
        <w:rPr>
          <w:rFonts w:ascii="宋体" w:hAnsi="Calibri" w:eastAsia="宋体" w:cs="Times New Roman"/>
          <w:color w:val="auto"/>
          <w:szCs w:val="21"/>
        </w:rPr>
        <w:t xml:space="preserve">（1）各投标单位最终得分=投标报价总价得分； </w:t>
      </w:r>
    </w:p>
    <w:p w14:paraId="32E921B5">
      <w:pPr>
        <w:autoSpaceDE w:val="0"/>
        <w:autoSpaceDN w:val="0"/>
        <w:adjustRightInd w:val="0"/>
        <w:spacing w:line="360" w:lineRule="auto"/>
        <w:ind w:firstLine="315" w:firstLineChars="150"/>
        <w:rPr>
          <w:rFonts w:ascii="宋体" w:hAnsi="Calibri" w:eastAsia="宋体" w:cs="Times New Roman"/>
          <w:color w:val="auto"/>
          <w:szCs w:val="21"/>
        </w:rPr>
      </w:pPr>
      <w:r>
        <w:rPr>
          <w:rFonts w:ascii="宋体" w:hAnsi="Calibri" w:eastAsia="宋体" w:cs="Times New Roman"/>
          <w:color w:val="auto"/>
          <w:szCs w:val="21"/>
        </w:rPr>
        <w:t xml:space="preserve">（2）在所有有效投标文件中得分最高的投标单位为第一中标候选人，其他依次为第二、三中标候选人。 </w:t>
      </w:r>
    </w:p>
    <w:p w14:paraId="1B00315E">
      <w:pPr>
        <w:tabs>
          <w:tab w:val="left" w:pos="720"/>
        </w:tabs>
        <w:spacing w:line="360" w:lineRule="auto"/>
        <w:ind w:left="-94" w:leftChars="-45" w:firstLine="420" w:firstLineChars="200"/>
        <w:rPr>
          <w:rFonts w:ascii="宋体" w:hAnsi="Calibri" w:eastAsia="宋体" w:cs="Times New Roman"/>
          <w:b/>
          <w:bCs/>
          <w:color w:val="auto"/>
          <w:szCs w:val="21"/>
        </w:rPr>
      </w:pPr>
      <w:r>
        <w:rPr>
          <w:rFonts w:ascii="宋体" w:hAnsi="Calibri" w:eastAsia="宋体" w:cs="Times New Roman"/>
          <w:color w:val="auto"/>
          <w:szCs w:val="21"/>
        </w:rPr>
        <w:t>（3）如有两家或两家以上投标单位得分相同且为最高分，则确定投标报价低的单位为第一中标候选人</w:t>
      </w:r>
      <w:r>
        <w:rPr>
          <w:rFonts w:hint="eastAsia" w:ascii="宋体" w:hAnsi="Calibri" w:eastAsia="宋体" w:cs="Times New Roman"/>
          <w:color w:val="auto"/>
          <w:szCs w:val="21"/>
        </w:rPr>
        <w:t>，若报价也相同，则按照送达标书签到的顺序抽签确定第一中标候选人</w:t>
      </w:r>
      <w:r>
        <w:rPr>
          <w:rFonts w:ascii="宋体" w:hAnsi="Calibri" w:eastAsia="宋体" w:cs="Times New Roman"/>
          <w:color w:val="auto"/>
          <w:szCs w:val="21"/>
        </w:rPr>
        <w:t>。</w:t>
      </w:r>
    </w:p>
    <w:p w14:paraId="7AC18777">
      <w:pPr>
        <w:spacing w:line="360" w:lineRule="auto"/>
        <w:rPr>
          <w:rFonts w:ascii="宋体" w:hAnsi="Calibri" w:eastAsia="宋体" w:cs="Times New Roman"/>
          <w:b/>
          <w:bCs/>
          <w:color w:val="auto"/>
          <w:szCs w:val="21"/>
        </w:rPr>
      </w:pPr>
      <w:r>
        <w:rPr>
          <w:rFonts w:hint="eastAsia" w:ascii="宋体" w:hAnsi="Calibri" w:eastAsia="宋体" w:cs="Times New Roman"/>
          <w:b/>
          <w:bCs/>
          <w:color w:val="auto"/>
          <w:szCs w:val="21"/>
        </w:rPr>
        <w:t>注：</w:t>
      </w:r>
      <w:r>
        <w:rPr>
          <w:rFonts w:ascii="宋体" w:hAnsi="Calibri" w:eastAsia="宋体" w:cs="Times New Roman"/>
          <w:b/>
          <w:bCs/>
          <w:color w:val="auto"/>
          <w:szCs w:val="21"/>
        </w:rPr>
        <w:t>开标、评标、定标流程</w:t>
      </w:r>
    </w:p>
    <w:p w14:paraId="78B14FFF">
      <w:pPr>
        <w:spacing w:line="360" w:lineRule="auto"/>
        <w:rPr>
          <w:rFonts w:ascii="宋体" w:hAnsi="Calibri" w:eastAsia="宋体" w:cs="Times New Roman"/>
          <w:b/>
          <w:color w:val="auto"/>
          <w:szCs w:val="21"/>
        </w:rPr>
      </w:pPr>
      <w:r>
        <w:rPr>
          <w:rFonts w:hint="eastAsia" w:ascii="宋体" w:hAnsi="Calibri" w:eastAsia="宋体" w:cs="Times New Roman"/>
          <w:b/>
          <w:bCs/>
          <w:color w:val="auto"/>
          <w:szCs w:val="21"/>
        </w:rPr>
        <w:t xml:space="preserve">   </w:t>
      </w:r>
      <w:r>
        <w:rPr>
          <w:rFonts w:hint="eastAsia" w:ascii="宋体" w:hAnsi="Calibri" w:eastAsia="宋体" w:cs="Times New Roman"/>
          <w:b/>
          <w:bCs/>
          <w:color w:val="auto"/>
          <w:szCs w:val="21"/>
          <w:lang w:val="en-US" w:eastAsia="zh-CN"/>
        </w:rPr>
        <w:t xml:space="preserve"> </w:t>
      </w:r>
      <w:r>
        <w:rPr>
          <w:rFonts w:hint="eastAsia" w:ascii="宋体" w:hAnsi="Calibri" w:eastAsia="宋体" w:cs="Times New Roman"/>
          <w:b w:val="0"/>
          <w:bCs w:val="0"/>
          <w:color w:val="auto"/>
          <w:szCs w:val="21"/>
        </w:rPr>
        <w:t>投标人员</w:t>
      </w:r>
      <w:r>
        <w:rPr>
          <w:rFonts w:ascii="宋体" w:hAnsi="Calibri" w:eastAsia="宋体" w:cs="Times New Roman"/>
          <w:color w:val="auto"/>
          <w:szCs w:val="21"/>
        </w:rPr>
        <w:t>身份核验--投标文件密封检查--投标文件唱标--资格审查、清标--评分办法及相应系数抽取--定标</w:t>
      </w:r>
      <w:r>
        <w:rPr>
          <w:rFonts w:hint="eastAsia" w:ascii="宋体" w:hAnsi="Calibri" w:eastAsia="宋体" w:cs="Times New Roman"/>
          <w:color w:val="auto"/>
          <w:szCs w:val="21"/>
        </w:rPr>
        <w:t>。</w:t>
      </w:r>
    </w:p>
    <w:p w14:paraId="4ACD9849">
      <w:pPr>
        <w:widowControl w:val="0"/>
        <w:autoSpaceDE w:val="0"/>
        <w:autoSpaceDN w:val="0"/>
        <w:adjustRightInd w:val="0"/>
        <w:spacing w:line="360" w:lineRule="auto"/>
        <w:rPr>
          <w:rFonts w:ascii="宋体" w:hAnsi="Times New Roman" w:eastAsia="宋体" w:cs="宋体"/>
          <w:color w:val="auto"/>
          <w:sz w:val="21"/>
          <w:szCs w:val="21"/>
          <w:lang w:val="en-US" w:eastAsia="zh-CN" w:bidi="ar-SA"/>
        </w:rPr>
      </w:pPr>
      <w:r>
        <w:rPr>
          <w:rFonts w:ascii="宋体" w:hAnsi="Times New Roman" w:eastAsia="宋体" w:cs="Times New Roman"/>
          <w:b/>
          <w:color w:val="auto"/>
          <w:sz w:val="21"/>
          <w:szCs w:val="21"/>
          <w:lang w:val="en-US" w:eastAsia="zh-CN" w:bidi="ar-SA"/>
        </w:rPr>
        <w:t>提醒：</w:t>
      </w:r>
    </w:p>
    <w:p w14:paraId="2DD50DE5">
      <w:pPr>
        <w:spacing w:line="360" w:lineRule="auto"/>
        <w:ind w:firstLine="422" w:firstLineChars="200"/>
        <w:rPr>
          <w:rFonts w:ascii="宋体" w:hAnsi="Calibri" w:eastAsia="宋体" w:cs="Times New Roman"/>
          <w:b/>
          <w:color w:val="auto"/>
          <w:szCs w:val="21"/>
        </w:rPr>
      </w:pPr>
      <w:r>
        <w:rPr>
          <w:rFonts w:hint="eastAsia" w:ascii="宋体" w:hAnsi="Calibri" w:eastAsia="宋体" w:cs="Times New Roman"/>
          <w:b/>
          <w:color w:val="auto"/>
          <w:szCs w:val="21"/>
        </w:rPr>
        <w:t>1、</w:t>
      </w:r>
      <w:r>
        <w:rPr>
          <w:rFonts w:ascii="宋体" w:hAnsi="Calibri" w:eastAsia="宋体" w:cs="Times New Roman"/>
          <w:b/>
          <w:color w:val="auto"/>
          <w:szCs w:val="21"/>
        </w:rPr>
        <w:t xml:space="preserve">凡涉及投标单位无故离开开标会议室导致其未参加评分办法及相应系数抽取此类质疑等一概不予受理。 </w:t>
      </w:r>
    </w:p>
    <w:p w14:paraId="37CA3F25">
      <w:pPr>
        <w:spacing w:line="360" w:lineRule="auto"/>
        <w:ind w:firstLine="422" w:firstLineChars="200"/>
        <w:rPr>
          <w:rFonts w:ascii="宋体" w:hAnsi="Calibri" w:eastAsia="宋体" w:cs="Times New Roman"/>
          <w:b/>
          <w:color w:val="auto"/>
          <w:szCs w:val="21"/>
        </w:rPr>
      </w:pPr>
      <w:r>
        <w:rPr>
          <w:rFonts w:hint="eastAsia" w:ascii="宋体" w:hAnsi="Calibri" w:eastAsia="宋体" w:cs="Times New Roman"/>
          <w:b/>
          <w:color w:val="auto"/>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hAnsi="Calibri" w:eastAsia="宋体" w:cs="Times New Roman"/>
          <w:b/>
          <w:color w:val="auto"/>
          <w:szCs w:val="21"/>
        </w:rPr>
        <w:t>。</w:t>
      </w:r>
      <w:r>
        <w:rPr>
          <w:rFonts w:hint="eastAsia" w:ascii="宋体" w:hAnsi="Calibri" w:eastAsia="宋体" w:cs="Times New Roman"/>
          <w:b/>
          <w:color w:val="auto"/>
          <w:szCs w:val="21"/>
        </w:rPr>
        <w:t>进入评标入围环节的承包人全部进入后续评标程序。</w:t>
      </w:r>
    </w:p>
    <w:p w14:paraId="50812566">
      <w:pPr>
        <w:spacing w:line="360" w:lineRule="auto"/>
        <w:ind w:firstLine="422" w:firstLineChars="200"/>
        <w:rPr>
          <w:rFonts w:ascii="Calibri" w:hAnsi="Calibri" w:eastAsia="宋体" w:cs="Times New Roman"/>
          <w:color w:val="auto"/>
        </w:rPr>
      </w:pPr>
      <w:r>
        <w:rPr>
          <w:rFonts w:hint="eastAsia" w:ascii="宋体" w:hAnsi="Calibri" w:eastAsia="宋体" w:cs="Times New Roman"/>
          <w:b/>
          <w:color w:val="auto"/>
          <w:szCs w:val="21"/>
        </w:rPr>
        <w:t>3、评标结束后，无论是否出现招投标当事人异议、投诉以及评委评审和计算错误情形，评标基准价均不重新计算。</w:t>
      </w:r>
    </w:p>
    <w:p w14:paraId="3FEF23F3"/>
    <w:sectPr>
      <w:footerReference r:id="rId8" w:type="first"/>
      <w:footerReference r:id="rId7" w:type="default"/>
      <w:pgSz w:w="11907" w:h="16840"/>
      <w:pgMar w:top="1440" w:right="1803" w:bottom="1440" w:left="1803"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F8DC5">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05EA8">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0A805EA8">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27039">
    <w:pPr>
      <w:framePr w:wrap="around" w:vAnchor="text" w:hAnchor="margin" w:xAlign="center" w:y="1"/>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21"/>
        <w:szCs w:val="24"/>
        <w:lang w:val="en-US" w:eastAsia="zh-CN" w:bidi="ar-SA"/>
      </w:rPr>
      <w:instrText xml:space="preserve">PAGE  </w:instrText>
    </w:r>
    <w:r>
      <w:rPr>
        <w:rFonts w:ascii="Calibri" w:hAnsi="Calibri" w:eastAsia="宋体" w:cs="Times New Roman"/>
        <w:kern w:val="2"/>
        <w:sz w:val="18"/>
        <w:szCs w:val="24"/>
        <w:lang w:val="en-US" w:eastAsia="zh-CN" w:bidi="ar-SA"/>
      </w:rPr>
      <w:fldChar w:fldCharType="end"/>
    </w:r>
  </w:p>
  <w:p w14:paraId="471F077E">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F6866">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FA207">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14:paraId="692FA207">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66E23">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BAE02F">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66BAE02F">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2</w:t>
                    </w:r>
                    <w:r>
                      <w:rPr>
                        <w:rFonts w:ascii="Calibri" w:hAnsi="Calibri" w:eastAsia="宋体" w:cs="Times New Roman"/>
                        <w:kern w:val="2"/>
                        <w:sz w:val="18"/>
                        <w:szCs w:val="24"/>
                        <w:lang w:val="en-US" w:eastAsia="zh-CN" w:bidi="ar-SA"/>
                      </w:rPr>
                      <w:fldChar w:fldCharType="end"/>
                    </w:r>
                  </w:p>
                </w:txbxContent>
              </v:textbox>
            </v:shape>
          </w:pict>
        </mc:Fallback>
      </mc:AlternateContent>
    </w:r>
    <w:r>
      <w:rPr>
        <w:rFonts w:hint="eastAsia" w:ascii="Calibri" w:hAnsi="Calibri" w:eastAsia="宋体" w:cs="Times New Roman"/>
        <w:kern w:val="2"/>
        <w:sz w:val="18"/>
        <w:szCs w:val="24"/>
        <w:lang w:val="en-US" w:eastAsia="zh-CN" w:bidi="ar-S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F9463">
    <w:pPr>
      <w:widowControl w:val="0"/>
      <w:tabs>
        <w:tab w:val="left" w:pos="6090"/>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20CD2A">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3</w:t>
                          </w:r>
                          <w:r>
                            <w:rPr>
                              <w:rFonts w:ascii="Calibri" w:hAnsi="Calibri" w:eastAsia="宋体" w:cs="Times New Roman"/>
                              <w:kern w:val="2"/>
                              <w:sz w:val="18"/>
                              <w:szCs w:val="24"/>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020CD2A">
                    <w:pPr>
                      <w:widowControl w:val="0"/>
                      <w:tabs>
                        <w:tab w:val="center" w:pos="4153"/>
                        <w:tab w:val="right" w:pos="8306"/>
                      </w:tabs>
                      <w:snapToGrid w:val="0"/>
                      <w:jc w:val="both"/>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3</w:t>
                    </w:r>
                    <w:r>
                      <w:rPr>
                        <w:rFonts w:ascii="Calibri" w:hAnsi="Calibri" w:eastAsia="宋体" w:cs="Times New Roman"/>
                        <w:kern w:val="2"/>
                        <w:sz w:val="18"/>
                        <w:szCs w:val="24"/>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16EA">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D2B72"/>
    <w:rsid w:val="040E7474"/>
    <w:rsid w:val="17802EB2"/>
    <w:rsid w:val="196D2B72"/>
    <w:rsid w:val="26E70300"/>
    <w:rsid w:val="4BE73457"/>
    <w:rsid w:val="6C4D4142"/>
    <w:rsid w:val="767720EA"/>
    <w:rsid w:val="7825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20616</Words>
  <Characters>21162</Characters>
  <Lines>0</Lines>
  <Paragraphs>0</Paragraphs>
  <TotalTime>3</TotalTime>
  <ScaleCrop>false</ScaleCrop>
  <LinksUpToDate>false</LinksUpToDate>
  <CharactersWithSpaces>27122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2025-01-13T08:40:00Z</dcterms:created>
  <dc:creator>轻风细雨</dc:creator>
  <cp:lastModifiedBy>sun.</cp:lastModifiedBy>
  <dcterms:modified xsi:type="dcterms:W3CDTF">2025-06-25T08:11:00Z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1D01C01E206C4260B03ABB65989179D1_11</vt:lpwstr>
  </property>
  <property fmtid="{D5CDD505-2E9C-101B-9397-08002B2CF9AE}" pid="4" name="KSOTemplateDocerSaveRecord">
    <vt:lpwstr>eyJoZGlkIjoiYzc3MGY3ODQzODQ1OTYxNGM1ZWVhMjIzMzAwMDNlMTIiLCJ1c2VySWQiOiIzNjkzNjczNTUifQ==</vt:lpwstr>
  </property>
</Properties>
</file>