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495C7">
      <w:pPr>
        <w:adjustRightInd w:val="0"/>
        <w:snapToGrid w:val="0"/>
        <w:spacing w:line="360" w:lineRule="auto"/>
        <w:jc w:val="center"/>
        <w:rPr>
          <w:rFonts w:hint="eastAsia" w:ascii="宋体" w:hAnsi="宋体" w:eastAsiaTheme="minorEastAsia"/>
          <w:b/>
          <w:spacing w:val="57"/>
          <w:sz w:val="84"/>
          <w:szCs w:val="22"/>
          <w:lang w:val="en-US" w:eastAsia="zh-CN"/>
        </w:rPr>
      </w:pPr>
      <w:r>
        <w:rPr>
          <w:rFonts w:hint="eastAsia" w:ascii="宋体" w:hAnsi="宋体"/>
          <w:b/>
          <w:spacing w:val="57"/>
          <w:sz w:val="84"/>
          <w:szCs w:val="22"/>
          <w:lang w:val="en-US" w:eastAsia="zh-CN"/>
        </w:rPr>
        <w:t xml:space="preserve"> </w:t>
      </w:r>
    </w:p>
    <w:p w14:paraId="3A7A60D7">
      <w:pPr>
        <w:adjustRightInd w:val="0"/>
        <w:snapToGrid w:val="0"/>
        <w:spacing w:line="360" w:lineRule="auto"/>
        <w:jc w:val="center"/>
        <w:rPr>
          <w:rFonts w:hint="eastAsia" w:ascii="宋体" w:hAnsi="宋体"/>
          <w:b/>
          <w:spacing w:val="57"/>
          <w:sz w:val="84"/>
          <w:szCs w:val="22"/>
        </w:rPr>
      </w:pPr>
      <w:r>
        <w:rPr>
          <w:rFonts w:hint="eastAsia" w:ascii="宋体" w:hAnsi="宋体"/>
          <w:b/>
          <w:spacing w:val="57"/>
          <w:sz w:val="84"/>
          <w:szCs w:val="22"/>
        </w:rPr>
        <w:t>金坛区建设工程</w:t>
      </w:r>
    </w:p>
    <w:p w14:paraId="44C469CA">
      <w:pPr>
        <w:adjustRightInd w:val="0"/>
        <w:snapToGrid w:val="0"/>
        <w:spacing w:line="360" w:lineRule="auto"/>
        <w:jc w:val="center"/>
        <w:rPr>
          <w:rFonts w:hint="eastAsia"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14:paraId="2593F2F7">
      <w:pPr>
        <w:pStyle w:val="2"/>
        <w:rPr>
          <w:rFonts w:hint="eastAsia" w:ascii="宋体" w:hAnsi="宋体"/>
          <w:b/>
          <w:spacing w:val="57"/>
          <w:sz w:val="84"/>
        </w:rPr>
      </w:pPr>
    </w:p>
    <w:p w14:paraId="355EB96B"/>
    <w:p w14:paraId="1C41F154">
      <w:pPr>
        <w:pStyle w:val="2"/>
      </w:pPr>
    </w:p>
    <w:p w14:paraId="1CC20773">
      <w:pPr>
        <w:pStyle w:val="2"/>
      </w:pPr>
    </w:p>
    <w:p w14:paraId="54AF908A">
      <w:pPr>
        <w:spacing w:line="480" w:lineRule="auto"/>
        <w:ind w:left="2808" w:leftChars="266" w:hanging="2249" w:hangingChars="800"/>
        <w:rPr>
          <w:rFonts w:hint="default" w:ascii="宋体" w:hAnsi="宋体"/>
          <w:b/>
          <w:sz w:val="28"/>
          <w:szCs w:val="28"/>
          <w:u w:val="single"/>
          <w:lang w:val="en-US" w:eastAsia="zh-CN"/>
        </w:rPr>
      </w:pPr>
      <w:r>
        <w:rPr>
          <w:rFonts w:hint="eastAsia" w:ascii="宋体" w:hAnsi="宋体"/>
          <w:b/>
          <w:sz w:val="28"/>
          <w:szCs w:val="28"/>
        </w:rPr>
        <w:t>项目名称：</w:t>
      </w:r>
      <w:r>
        <w:rPr>
          <w:rFonts w:hint="eastAsia" w:ascii="宋体" w:hAnsi="宋体"/>
          <w:b/>
          <w:sz w:val="28"/>
          <w:szCs w:val="28"/>
          <w:u w:val="single"/>
          <w:lang w:val="en-US" w:eastAsia="zh-CN"/>
        </w:rPr>
        <w:t xml:space="preserve">   </w:t>
      </w:r>
      <w:r>
        <w:rPr>
          <w:rFonts w:hint="eastAsia" w:ascii="宋体" w:hAnsi="宋体"/>
          <w:b/>
          <w:sz w:val="28"/>
          <w:szCs w:val="28"/>
          <w:u w:val="single"/>
          <w:lang w:eastAsia="zh-CN"/>
        </w:rPr>
        <w:t>常州市金坛区河滨小学教室门更换出新</w:t>
      </w:r>
      <w:r>
        <w:rPr>
          <w:rFonts w:hint="eastAsia" w:ascii="宋体" w:hAnsi="宋体"/>
          <w:b/>
          <w:sz w:val="28"/>
          <w:szCs w:val="28"/>
          <w:u w:val="single"/>
          <w:lang w:val="en-US" w:eastAsia="zh-CN"/>
        </w:rPr>
        <w:t xml:space="preserve">     </w:t>
      </w:r>
    </w:p>
    <w:p w14:paraId="0B715BCF">
      <w:pPr>
        <w:spacing w:line="480" w:lineRule="auto"/>
        <w:ind w:left="2808" w:leftChars="266" w:hanging="2249" w:hangingChars="800"/>
        <w:rPr>
          <w:rFonts w:hint="eastAsia" w:ascii="宋体" w:hAnsi="宋体"/>
          <w:b/>
          <w:sz w:val="28"/>
          <w:szCs w:val="28"/>
          <w:highlight w:val="none"/>
          <w:u w:val="single"/>
          <w:lang w:val="en-US" w:eastAsia="zh-CN"/>
        </w:rPr>
      </w:pPr>
      <w:r>
        <w:rPr>
          <w:rFonts w:hint="eastAsia" w:ascii="宋体" w:hAnsi="宋体"/>
          <w:b/>
          <w:sz w:val="28"/>
          <w:szCs w:val="28"/>
          <w:highlight w:val="none"/>
        </w:rPr>
        <w:t>招标人(盖章)：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highlight w:val="none"/>
          <w:u w:val="single"/>
          <w:lang w:val="en-US" w:eastAsia="zh-CN"/>
        </w:rPr>
        <w:t>常州市金坛区河滨小学</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14:paraId="36E67328">
      <w:pPr>
        <w:spacing w:line="480" w:lineRule="auto"/>
        <w:ind w:firstLine="562" w:firstLineChars="200"/>
        <w:rPr>
          <w:rFonts w:ascii="宋体" w:hAnsi="宋体"/>
          <w:b/>
          <w:sz w:val="28"/>
          <w:szCs w:val="28"/>
        </w:rPr>
      </w:pPr>
      <w:r>
        <w:rPr>
          <w:rFonts w:hint="eastAsia" w:ascii="宋体" w:hAnsi="宋体"/>
          <w:b/>
          <w:sz w:val="28"/>
          <w:szCs w:val="28"/>
        </w:rPr>
        <w:t>法定代表人(签字或盖章) ：</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14:paraId="2280F1A0">
      <w:pPr>
        <w:spacing w:line="480" w:lineRule="auto"/>
        <w:ind w:left="559" w:leftChars="266" w:firstLine="0" w:firstLineChars="0"/>
        <w:rPr>
          <w:rFonts w:hint="eastAsia" w:ascii="宋体" w:hAnsi="宋体"/>
          <w:b/>
          <w:sz w:val="28"/>
          <w:szCs w:val="28"/>
          <w:u w:val="single"/>
          <w:lang w:eastAsia="zh-CN"/>
        </w:rPr>
      </w:pPr>
      <w:r>
        <w:rPr>
          <w:rFonts w:hint="eastAsia" w:ascii="宋体" w:hAnsi="宋体"/>
          <w:b/>
          <w:sz w:val="28"/>
          <w:szCs w:val="28"/>
        </w:rPr>
        <w:t>招标代理机构(盖章)：</w:t>
      </w:r>
      <w:r>
        <w:rPr>
          <w:rFonts w:hint="eastAsia" w:ascii="宋体" w:hAnsi="宋体"/>
          <w:b/>
          <w:sz w:val="28"/>
          <w:szCs w:val="28"/>
          <w:u w:val="single"/>
          <w:lang w:eastAsia="zh-CN"/>
        </w:rPr>
        <w:t>江苏铭硕全过程项目管理有限公司</w:t>
      </w:r>
    </w:p>
    <w:p w14:paraId="3DA36285">
      <w:pPr>
        <w:spacing w:line="480" w:lineRule="auto"/>
        <w:ind w:left="559" w:leftChars="266" w:firstLine="0" w:firstLineChars="0"/>
        <w:rPr>
          <w:rFonts w:hint="default" w:ascii="宋体" w:hAnsi="宋体" w:eastAsiaTheme="minorEastAsia"/>
          <w:b/>
          <w:sz w:val="28"/>
          <w:szCs w:val="28"/>
          <w:u w:val="single"/>
          <w:lang w:val="en-US" w:eastAsia="zh-CN"/>
        </w:rPr>
      </w:pPr>
      <w:r>
        <w:rPr>
          <w:rFonts w:hint="eastAsia" w:ascii="宋体" w:hAnsi="宋体"/>
          <w:b/>
          <w:sz w:val="28"/>
          <w:szCs w:val="28"/>
          <w:u w:val="none"/>
        </w:rPr>
        <w:t>法定</w:t>
      </w:r>
      <w:r>
        <w:rPr>
          <w:rFonts w:hint="eastAsia" w:ascii="宋体" w:hAnsi="宋体"/>
          <w:b/>
          <w:sz w:val="28"/>
          <w:szCs w:val="28"/>
        </w:rPr>
        <w:t>代表人(签字或盖章)：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p>
    <w:p w14:paraId="51E35610">
      <w:pPr>
        <w:spacing w:line="480" w:lineRule="auto"/>
        <w:ind w:firstLine="562" w:firstLineChars="200"/>
        <w:rPr>
          <w:rFonts w:ascii="宋体" w:hAnsi="宋体"/>
          <w:b/>
          <w:sz w:val="28"/>
          <w:szCs w:val="28"/>
        </w:rPr>
      </w:pPr>
    </w:p>
    <w:p w14:paraId="594C1A67">
      <w:pPr>
        <w:spacing w:line="480" w:lineRule="auto"/>
        <w:jc w:val="center"/>
        <w:rPr>
          <w:rFonts w:ascii="宋体" w:hAnsi="宋体"/>
          <w:b/>
          <w:sz w:val="28"/>
          <w:szCs w:val="28"/>
        </w:rPr>
      </w:pPr>
    </w:p>
    <w:p w14:paraId="7DD837B1">
      <w:pPr>
        <w:pStyle w:val="2"/>
        <w:rPr>
          <w:rFonts w:ascii="宋体" w:hAnsi="宋体"/>
          <w:b/>
          <w:sz w:val="28"/>
          <w:szCs w:val="28"/>
        </w:rPr>
      </w:pPr>
    </w:p>
    <w:p w14:paraId="59ADB72A"/>
    <w:p w14:paraId="55672F47">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5</w:t>
      </w:r>
      <w:r>
        <w:rPr>
          <w:rFonts w:hint="eastAsia" w:ascii="宋体" w:hAnsi="宋体"/>
          <w:b/>
          <w:sz w:val="28"/>
          <w:szCs w:val="28"/>
        </w:rPr>
        <w:t>年</w:t>
      </w:r>
      <w:r>
        <w:rPr>
          <w:rFonts w:hint="eastAsia" w:ascii="宋体" w:hAnsi="宋体"/>
          <w:b/>
          <w:sz w:val="28"/>
          <w:szCs w:val="28"/>
          <w:lang w:val="en-US" w:eastAsia="zh-CN"/>
        </w:rPr>
        <w:t>6</w:t>
      </w:r>
      <w:r>
        <w:rPr>
          <w:rFonts w:hint="eastAsia" w:ascii="宋体" w:hAnsi="宋体"/>
          <w:b/>
          <w:sz w:val="28"/>
          <w:szCs w:val="28"/>
        </w:rPr>
        <w:t>月</w:t>
      </w:r>
    </w:p>
    <w:p w14:paraId="4080561B">
      <w:pPr>
        <w:spacing w:line="480" w:lineRule="auto"/>
        <w:jc w:val="center"/>
        <w:rPr>
          <w:rFonts w:hint="eastAsia" w:ascii="宋体" w:hAnsi="宋体"/>
          <w:b/>
          <w:sz w:val="44"/>
        </w:rPr>
      </w:pPr>
    </w:p>
    <w:p w14:paraId="719AB1C8">
      <w:pPr>
        <w:spacing w:line="480" w:lineRule="auto"/>
        <w:jc w:val="center"/>
        <w:rPr>
          <w:rFonts w:ascii="宋体" w:hAnsi="宋体"/>
          <w:b/>
          <w:sz w:val="44"/>
        </w:rPr>
      </w:pPr>
      <w:r>
        <w:rPr>
          <w:rFonts w:hint="eastAsia" w:ascii="宋体" w:hAnsi="宋体"/>
          <w:b/>
          <w:sz w:val="44"/>
        </w:rPr>
        <w:t>目 录</w:t>
      </w:r>
    </w:p>
    <w:p w14:paraId="000EE656">
      <w:pPr>
        <w:pStyle w:val="10"/>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14:paraId="5FA50798">
      <w:pPr>
        <w:pStyle w:val="10"/>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14:paraId="1F72507F">
      <w:pPr>
        <w:pStyle w:val="10"/>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w:t>
      </w:r>
      <w:r>
        <w:rPr>
          <w:rFonts w:hint="eastAsia" w:ascii="宋体" w:hAnsi="宋体" w:cs="宋体"/>
          <w:snapToGrid w:val="0"/>
          <w:szCs w:val="21"/>
          <w:lang w:eastAsia="zh-CN"/>
        </w:rPr>
        <w:t>、控制价</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14:paraId="41BE2FA4">
      <w:pPr>
        <w:pStyle w:val="10"/>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四</w:t>
      </w:r>
      <w:r>
        <w:rPr>
          <w:rFonts w:hint="eastAsia" w:ascii="宋体" w:hAnsi="宋体" w:cs="宋体"/>
          <w:snapToGrid w:val="0"/>
          <w:szCs w:val="21"/>
        </w:rPr>
        <w:t>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14:paraId="04FDFA2B">
      <w:pPr>
        <w:pStyle w:val="10"/>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五</w:t>
      </w:r>
      <w:r>
        <w:rPr>
          <w:rFonts w:hint="eastAsia" w:ascii="宋体" w:hAnsi="宋体" w:cs="宋体"/>
          <w:snapToGrid w:val="0"/>
          <w:szCs w:val="21"/>
        </w:rPr>
        <w:t>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14:paraId="1AB79AF2">
      <w:pPr>
        <w:spacing w:line="360" w:lineRule="auto"/>
        <w:rPr>
          <w:rFonts w:ascii="宋体" w:hAnsi="宋体"/>
        </w:rPr>
      </w:pPr>
      <w:r>
        <w:rPr>
          <w:rFonts w:hint="eastAsia" w:ascii="宋体" w:hAnsi="宋体" w:cs="宋体"/>
          <w:szCs w:val="21"/>
        </w:rPr>
        <w:fldChar w:fldCharType="end"/>
      </w:r>
    </w:p>
    <w:p w14:paraId="79B75B7B">
      <w:pPr>
        <w:spacing w:line="480" w:lineRule="auto"/>
        <w:ind w:firstLine="3889"/>
        <w:rPr>
          <w:rFonts w:ascii="宋体" w:hAnsi="宋体"/>
          <w:b/>
          <w:sz w:val="44"/>
        </w:rPr>
      </w:pPr>
    </w:p>
    <w:p w14:paraId="6B7D608C">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Borders w:offsetFrom="page">
            <w:top w:val="none" w:sz="0" w:space="0"/>
            <w:left w:val="none" w:sz="0" w:space="0"/>
            <w:bottom w:val="none" w:sz="0" w:space="0"/>
            <w:right w:val="none" w:sz="0" w:space="0"/>
          </w:pgBorders>
          <w:pgNumType w:start="1"/>
          <w:cols w:space="720" w:num="1"/>
          <w:titlePg/>
          <w:docGrid w:linePitch="272" w:charSpace="0"/>
        </w:sectPr>
      </w:pPr>
    </w:p>
    <w:p w14:paraId="6524FA18">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4890"/>
      <w:bookmarkStart w:id="1" w:name="_Toc22561"/>
      <w:bookmarkStart w:id="2" w:name="_Toc6959"/>
      <w:bookmarkStart w:id="3" w:name="_Toc30588"/>
      <w:bookmarkStart w:id="4" w:name="_Toc24362"/>
      <w:bookmarkStart w:id="5" w:name="_Toc17264"/>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3"/>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14:paraId="75C8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618EBBF2">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工程名称</w:t>
            </w:r>
          </w:p>
        </w:tc>
        <w:tc>
          <w:tcPr>
            <w:tcW w:w="7766" w:type="dxa"/>
            <w:gridSpan w:val="3"/>
            <w:vAlign w:val="center"/>
          </w:tcPr>
          <w:p w14:paraId="5E92D1B0">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sz w:val="21"/>
                <w:szCs w:val="21"/>
                <w:lang w:val="en-US" w:eastAsia="zh-CN"/>
              </w:rPr>
            </w:pPr>
            <w:r>
              <w:rPr>
                <w:rFonts w:hint="eastAsia" w:ascii="宋体" w:hAnsi="宋体" w:eastAsia="宋体" w:cs="宋体"/>
                <w:b w:val="0"/>
                <w:bCs/>
                <w:sz w:val="21"/>
                <w:szCs w:val="21"/>
                <w:lang w:eastAsia="zh-CN"/>
              </w:rPr>
              <w:t>常州市金坛区河滨小学教室门更换出新</w:t>
            </w:r>
          </w:p>
        </w:tc>
      </w:tr>
      <w:tr w14:paraId="0999D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3937AF86">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建设地点</w:t>
            </w:r>
          </w:p>
        </w:tc>
        <w:tc>
          <w:tcPr>
            <w:tcW w:w="7766" w:type="dxa"/>
            <w:gridSpan w:val="3"/>
            <w:vAlign w:val="center"/>
          </w:tcPr>
          <w:p w14:paraId="35D5AB16">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sz w:val="21"/>
                <w:szCs w:val="21"/>
                <w:lang w:eastAsia="zh-CN"/>
              </w:rPr>
            </w:pPr>
            <w:r>
              <w:rPr>
                <w:rFonts w:hint="eastAsia" w:ascii="宋体" w:hAnsi="宋体" w:eastAsia="宋体" w:cs="宋体"/>
                <w:snapToGrid w:val="0"/>
                <w:sz w:val="21"/>
                <w:szCs w:val="21"/>
                <w:lang w:val="en-US" w:eastAsia="zh-CN"/>
              </w:rPr>
              <w:t>常州市金坛区河滨小学</w:t>
            </w:r>
          </w:p>
        </w:tc>
      </w:tr>
      <w:tr w14:paraId="3D0A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14:paraId="5B10DCF2">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联 系 人</w:t>
            </w:r>
          </w:p>
        </w:tc>
        <w:tc>
          <w:tcPr>
            <w:tcW w:w="2767" w:type="dxa"/>
            <w:vAlign w:val="center"/>
          </w:tcPr>
          <w:p w14:paraId="441734A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color w:val="auto"/>
                <w:sz w:val="21"/>
                <w:szCs w:val="21"/>
                <w:highlight w:val="none"/>
                <w:lang w:val="en-US" w:eastAsia="zh-CN"/>
              </w:rPr>
            </w:pPr>
            <w:r>
              <w:rPr>
                <w:rFonts w:hint="eastAsia" w:ascii="宋体" w:hAnsi="宋体" w:eastAsia="宋体" w:cs="宋体"/>
                <w:snapToGrid w:val="0"/>
                <w:color w:val="auto"/>
                <w:sz w:val="21"/>
                <w:szCs w:val="21"/>
                <w:highlight w:val="none"/>
                <w:lang w:val="en-US" w:eastAsia="zh-CN"/>
              </w:rPr>
              <w:t>徐主任</w:t>
            </w:r>
          </w:p>
        </w:tc>
        <w:tc>
          <w:tcPr>
            <w:tcW w:w="2266" w:type="dxa"/>
            <w:vAlign w:val="center"/>
          </w:tcPr>
          <w:p w14:paraId="0FF14C1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联系电话</w:t>
            </w:r>
          </w:p>
        </w:tc>
        <w:tc>
          <w:tcPr>
            <w:tcW w:w="2733" w:type="dxa"/>
            <w:vAlign w:val="center"/>
          </w:tcPr>
          <w:p w14:paraId="5B2A585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snapToGrid w:val="0"/>
                <w:color w:val="auto"/>
                <w:sz w:val="21"/>
                <w:szCs w:val="21"/>
                <w:highlight w:val="none"/>
                <w:lang w:val="en-US" w:eastAsia="zh-CN"/>
              </w:rPr>
            </w:pPr>
            <w:r>
              <w:rPr>
                <w:rFonts w:hint="eastAsia" w:ascii="宋体" w:hAnsi="宋体" w:eastAsia="宋体" w:cs="宋体"/>
                <w:snapToGrid w:val="0"/>
                <w:color w:val="auto"/>
                <w:sz w:val="21"/>
                <w:szCs w:val="21"/>
                <w:highlight w:val="none"/>
                <w:lang w:val="en-US" w:eastAsia="zh-CN"/>
              </w:rPr>
              <w:t>13961262282</w:t>
            </w:r>
          </w:p>
        </w:tc>
      </w:tr>
      <w:tr w14:paraId="567A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589D3F06">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招标方式</w:t>
            </w:r>
          </w:p>
        </w:tc>
        <w:tc>
          <w:tcPr>
            <w:tcW w:w="7766" w:type="dxa"/>
            <w:gridSpan w:val="3"/>
            <w:vAlign w:val="center"/>
          </w:tcPr>
          <w:p w14:paraId="44327BF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公开招标</w:t>
            </w:r>
          </w:p>
        </w:tc>
      </w:tr>
      <w:tr w14:paraId="6997A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2B5752A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招标范围</w:t>
            </w:r>
          </w:p>
        </w:tc>
        <w:tc>
          <w:tcPr>
            <w:tcW w:w="7766" w:type="dxa"/>
            <w:gridSpan w:val="3"/>
            <w:vAlign w:val="center"/>
          </w:tcPr>
          <w:p w14:paraId="0625253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招标清单、控制价包</w:t>
            </w:r>
            <w:r>
              <w:rPr>
                <w:rFonts w:hint="eastAsia" w:ascii="宋体" w:hAnsi="宋体" w:eastAsia="宋体" w:cs="宋体"/>
                <w:snapToGrid w:val="0"/>
                <w:color w:val="auto"/>
                <w:sz w:val="21"/>
                <w:szCs w:val="21"/>
                <w:lang w:val="en-US" w:eastAsia="zh-CN"/>
              </w:rPr>
              <w:t>含</w:t>
            </w:r>
            <w:r>
              <w:rPr>
                <w:rFonts w:hint="eastAsia" w:ascii="宋体" w:hAnsi="宋体" w:eastAsia="宋体" w:cs="宋体"/>
                <w:snapToGrid w:val="0"/>
                <w:color w:val="auto"/>
                <w:sz w:val="21"/>
                <w:szCs w:val="21"/>
              </w:rPr>
              <w:t>的全部内容</w:t>
            </w:r>
          </w:p>
        </w:tc>
      </w:tr>
      <w:tr w14:paraId="43D59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37F064B4">
            <w:pPr>
              <w:keepNext w:val="0"/>
              <w:keepLines w:val="0"/>
              <w:pageBreakBefore w:val="0"/>
              <w:kinsoku/>
              <w:wordWrap/>
              <w:overflowPunct/>
              <w:topLinePunct w:val="0"/>
              <w:autoSpaceDE/>
              <w:autoSpaceDN/>
              <w:bidi w:val="0"/>
              <w:adjustRightInd w:val="0"/>
              <w:snapToGrid w:val="0"/>
              <w:spacing w:line="400" w:lineRule="exact"/>
              <w:ind w:firstLine="316" w:firstLineChars="150"/>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工期要求</w:t>
            </w:r>
          </w:p>
        </w:tc>
        <w:tc>
          <w:tcPr>
            <w:tcW w:w="7766" w:type="dxa"/>
            <w:gridSpan w:val="3"/>
            <w:vAlign w:val="center"/>
          </w:tcPr>
          <w:p w14:paraId="46CCC08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0000FF"/>
                <w:sz w:val="21"/>
                <w:szCs w:val="21"/>
                <w:highlight w:val="none"/>
                <w:lang w:val="en-US" w:eastAsia="zh-CN"/>
              </w:rPr>
              <w:t>30</w:t>
            </w:r>
            <w:r>
              <w:rPr>
                <w:rFonts w:hint="eastAsia" w:ascii="宋体" w:hAnsi="宋体" w:eastAsia="宋体" w:cs="宋体"/>
                <w:snapToGrid w:val="0"/>
                <w:color w:val="0000FF"/>
                <w:sz w:val="21"/>
                <w:szCs w:val="21"/>
                <w:highlight w:val="none"/>
                <w:lang w:eastAsia="zh-CN"/>
              </w:rPr>
              <w:t>日历天（</w:t>
            </w:r>
            <w:r>
              <w:rPr>
                <w:rFonts w:hint="eastAsia" w:cs="宋体"/>
                <w:color w:val="0000FF"/>
                <w:sz w:val="21"/>
                <w:szCs w:val="21"/>
                <w:highlight w:val="none"/>
                <w:lang w:val="en-US" w:eastAsia="zh-CN"/>
              </w:rPr>
              <w:t>以开工令为准）</w:t>
            </w:r>
          </w:p>
        </w:tc>
      </w:tr>
      <w:tr w14:paraId="1FE0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3220C1E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质量要求</w:t>
            </w:r>
          </w:p>
        </w:tc>
        <w:tc>
          <w:tcPr>
            <w:tcW w:w="7766" w:type="dxa"/>
            <w:gridSpan w:val="3"/>
            <w:vAlign w:val="center"/>
          </w:tcPr>
          <w:p w14:paraId="37A8526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合格</w:t>
            </w:r>
          </w:p>
        </w:tc>
      </w:tr>
      <w:tr w14:paraId="5FBA3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07F50F8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现场踏勘</w:t>
            </w:r>
          </w:p>
        </w:tc>
        <w:tc>
          <w:tcPr>
            <w:tcW w:w="7766" w:type="dxa"/>
            <w:gridSpan w:val="3"/>
            <w:vAlign w:val="center"/>
          </w:tcPr>
          <w:p w14:paraId="7983441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各投标单位也可自行踏勘</w:t>
            </w:r>
          </w:p>
        </w:tc>
      </w:tr>
      <w:tr w14:paraId="26C72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18ACCBF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投标有效期</w:t>
            </w:r>
          </w:p>
        </w:tc>
        <w:tc>
          <w:tcPr>
            <w:tcW w:w="7766" w:type="dxa"/>
            <w:gridSpan w:val="3"/>
            <w:vAlign w:val="center"/>
          </w:tcPr>
          <w:p w14:paraId="4347993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投标截止日后</w:t>
            </w:r>
            <w:r>
              <w:rPr>
                <w:rFonts w:hint="eastAsia" w:ascii="宋体" w:hAnsi="宋体" w:eastAsia="宋体" w:cs="宋体"/>
                <w:snapToGrid w:val="0"/>
                <w:color w:val="auto"/>
                <w:sz w:val="21"/>
                <w:szCs w:val="21"/>
                <w:u w:val="single"/>
              </w:rPr>
              <w:t>45</w:t>
            </w:r>
            <w:r>
              <w:rPr>
                <w:rFonts w:hint="eastAsia" w:ascii="宋体" w:hAnsi="宋体" w:eastAsia="宋体" w:cs="宋体"/>
                <w:snapToGrid w:val="0"/>
                <w:color w:val="auto"/>
                <w:sz w:val="21"/>
                <w:szCs w:val="21"/>
              </w:rPr>
              <w:t>日内有效</w:t>
            </w:r>
          </w:p>
        </w:tc>
      </w:tr>
      <w:tr w14:paraId="47EEE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59B1969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投标文件份数</w:t>
            </w:r>
          </w:p>
        </w:tc>
        <w:tc>
          <w:tcPr>
            <w:tcW w:w="7766" w:type="dxa"/>
            <w:gridSpan w:val="3"/>
            <w:vAlign w:val="center"/>
          </w:tcPr>
          <w:p w14:paraId="2D9F06E1">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正本：一套。开标截止时间前装袋、密封提交。</w:t>
            </w:r>
          </w:p>
          <w:p w14:paraId="7A8E577E">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snapToGrid w:val="0"/>
                <w:color w:val="auto"/>
                <w:sz w:val="21"/>
                <w:szCs w:val="21"/>
              </w:rPr>
            </w:pPr>
            <w:r>
              <w:rPr>
                <w:rFonts w:hint="eastAsia" w:ascii="宋体" w:hAnsi="宋体" w:eastAsia="宋体" w:cs="宋体"/>
                <w:snapToGrid w:val="0"/>
                <w:color w:val="auto"/>
                <w:sz w:val="21"/>
                <w:szCs w:val="21"/>
              </w:rPr>
              <w:t>副本开标时无需提供。投标单位在中标后，领取中标通知书时，另行提供两套投标文件。</w:t>
            </w:r>
          </w:p>
        </w:tc>
      </w:tr>
      <w:tr w14:paraId="363C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22DF439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投标保证金</w:t>
            </w:r>
          </w:p>
        </w:tc>
        <w:tc>
          <w:tcPr>
            <w:tcW w:w="7766" w:type="dxa"/>
            <w:gridSpan w:val="3"/>
            <w:vAlign w:val="center"/>
          </w:tcPr>
          <w:p w14:paraId="21ACE2EB">
            <w:pPr>
              <w:pStyle w:val="12"/>
              <w:keepNext w:val="0"/>
              <w:keepLines w:val="0"/>
              <w:pageBreakBefore w:val="0"/>
              <w:kinsoku/>
              <w:wordWrap/>
              <w:overflowPunct/>
              <w:topLinePunct w:val="0"/>
              <w:autoSpaceDE/>
              <w:autoSpaceDN/>
              <w:bidi w:val="0"/>
              <w:spacing w:before="0" w:beforeAutospacing="0" w:after="0" w:afterAutospacing="0" w:line="400" w:lineRule="exact"/>
              <w:jc w:val="center"/>
              <w:textAlignment w:val="auto"/>
              <w:rPr>
                <w:rFonts w:hint="default" w:ascii="宋体" w:hAnsi="宋体" w:eastAsia="宋体" w:cs="宋体"/>
                <w:bCs/>
                <w:snapToGrid w:val="0"/>
                <w:color w:val="auto"/>
                <w:sz w:val="21"/>
                <w:szCs w:val="21"/>
                <w:lang w:val="en-US" w:eastAsia="zh-CN"/>
              </w:rPr>
            </w:pPr>
            <w:r>
              <w:rPr>
                <w:rFonts w:hint="eastAsia" w:eastAsia="宋体" w:cs="宋体"/>
                <w:bCs/>
                <w:snapToGrid w:val="0"/>
                <w:color w:val="auto"/>
                <w:sz w:val="21"/>
                <w:szCs w:val="21"/>
                <w:lang w:val="en-US" w:eastAsia="zh-CN"/>
              </w:rPr>
              <w:t>详见公告</w:t>
            </w:r>
          </w:p>
        </w:tc>
      </w:tr>
      <w:tr w14:paraId="29FB1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4A36D47B">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投标文件递交地点及截至时间</w:t>
            </w:r>
          </w:p>
        </w:tc>
        <w:tc>
          <w:tcPr>
            <w:tcW w:w="7766" w:type="dxa"/>
            <w:gridSpan w:val="3"/>
            <w:vAlign w:val="center"/>
          </w:tcPr>
          <w:p w14:paraId="3EAB5BFF">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接收人：江苏铭硕全过程项目管理有限公司</w:t>
            </w:r>
          </w:p>
          <w:p w14:paraId="396515BA">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点：常州市金坛区金鑫路165号中景商务楼A座8楼809室。</w:t>
            </w:r>
          </w:p>
          <w:p w14:paraId="13FD898D">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投标截至时间：</w:t>
            </w:r>
            <w:r>
              <w:rPr>
                <w:rFonts w:hint="eastAsia" w:ascii="宋体" w:hAnsi="宋体" w:eastAsia="宋体" w:cs="宋体"/>
                <w:color w:val="0000FF"/>
                <w:sz w:val="21"/>
                <w:szCs w:val="21"/>
                <w:highlight w:val="none"/>
                <w:shd w:val="clear" w:color="auto" w:fill="FFFFFF"/>
                <w:lang w:eastAsia="zh-CN"/>
              </w:rPr>
              <w:t>202</w:t>
            </w:r>
            <w:r>
              <w:rPr>
                <w:rFonts w:hint="eastAsia" w:ascii="宋体" w:hAnsi="宋体" w:eastAsia="宋体" w:cs="宋体"/>
                <w:color w:val="0000FF"/>
                <w:sz w:val="21"/>
                <w:szCs w:val="21"/>
                <w:highlight w:val="none"/>
                <w:shd w:val="clear" w:color="auto" w:fill="FFFFFF"/>
                <w:lang w:val="en-US" w:eastAsia="zh-CN"/>
              </w:rPr>
              <w:t>5</w:t>
            </w:r>
            <w:r>
              <w:rPr>
                <w:rFonts w:hint="eastAsia" w:ascii="宋体" w:hAnsi="宋体" w:eastAsia="宋体" w:cs="宋体"/>
                <w:color w:val="0000FF"/>
                <w:sz w:val="21"/>
                <w:szCs w:val="21"/>
                <w:highlight w:val="none"/>
                <w:shd w:val="clear" w:color="auto" w:fill="FFFFFF"/>
                <w:lang w:eastAsia="zh-CN"/>
              </w:rPr>
              <w:t>年</w:t>
            </w:r>
            <w:r>
              <w:rPr>
                <w:rFonts w:hint="eastAsia" w:ascii="宋体" w:hAnsi="宋体" w:eastAsia="宋体" w:cs="宋体"/>
                <w:color w:val="0000FF"/>
                <w:sz w:val="21"/>
                <w:szCs w:val="21"/>
                <w:highlight w:val="none"/>
                <w:shd w:val="clear" w:color="auto" w:fill="FFFFFF"/>
                <w:lang w:val="en-US" w:eastAsia="zh-CN"/>
              </w:rPr>
              <w:t>7</w:t>
            </w:r>
            <w:r>
              <w:rPr>
                <w:rFonts w:hint="eastAsia" w:ascii="宋体" w:hAnsi="宋体" w:eastAsia="宋体" w:cs="宋体"/>
                <w:color w:val="0000FF"/>
                <w:sz w:val="21"/>
                <w:szCs w:val="21"/>
                <w:highlight w:val="none"/>
                <w:shd w:val="clear" w:color="auto" w:fill="FFFFFF"/>
                <w:lang w:eastAsia="zh-CN"/>
              </w:rPr>
              <w:t>月</w:t>
            </w:r>
            <w:r>
              <w:rPr>
                <w:rFonts w:hint="eastAsia" w:ascii="宋体" w:hAnsi="宋体" w:eastAsia="宋体" w:cs="宋体"/>
                <w:color w:val="0000FF"/>
                <w:sz w:val="21"/>
                <w:szCs w:val="21"/>
                <w:highlight w:val="none"/>
                <w:shd w:val="clear" w:color="auto" w:fill="FFFFFF"/>
                <w:lang w:val="en-US" w:eastAsia="zh-CN"/>
              </w:rPr>
              <w:t>9</w:t>
            </w:r>
            <w:r>
              <w:rPr>
                <w:rFonts w:hint="eastAsia" w:ascii="宋体" w:hAnsi="宋体" w:eastAsia="宋体" w:cs="宋体"/>
                <w:color w:val="0000FF"/>
                <w:sz w:val="21"/>
                <w:szCs w:val="21"/>
                <w:highlight w:val="none"/>
                <w:shd w:val="clear" w:color="auto" w:fill="FFFFFF"/>
                <w:lang w:eastAsia="zh-CN"/>
              </w:rPr>
              <w:t>日</w:t>
            </w:r>
            <w:r>
              <w:rPr>
                <w:rFonts w:hint="eastAsia" w:ascii="宋体" w:hAnsi="宋体" w:eastAsia="宋体" w:cs="宋体"/>
                <w:color w:val="0000FF"/>
                <w:sz w:val="21"/>
                <w:szCs w:val="21"/>
                <w:highlight w:val="none"/>
                <w:shd w:val="clear" w:color="auto" w:fill="FFFFFF"/>
                <w:lang w:val="en-US" w:eastAsia="zh-CN"/>
              </w:rPr>
              <w:t>9</w:t>
            </w:r>
            <w:r>
              <w:rPr>
                <w:rFonts w:hint="eastAsia" w:ascii="宋体" w:hAnsi="宋体" w:eastAsia="宋体" w:cs="宋体"/>
                <w:color w:val="0000FF"/>
                <w:sz w:val="21"/>
                <w:szCs w:val="21"/>
                <w:highlight w:val="none"/>
                <w:shd w:val="clear" w:color="auto" w:fill="FFFFFF"/>
                <w:lang w:eastAsia="zh-CN"/>
              </w:rPr>
              <w:t>:</w:t>
            </w:r>
            <w:r>
              <w:rPr>
                <w:rFonts w:hint="eastAsia" w:ascii="宋体" w:hAnsi="宋体" w:eastAsia="宋体" w:cs="宋体"/>
                <w:color w:val="0000FF"/>
                <w:sz w:val="21"/>
                <w:szCs w:val="21"/>
                <w:highlight w:val="none"/>
                <w:shd w:val="clear" w:color="auto" w:fill="FFFFFF"/>
                <w:lang w:val="en-US" w:eastAsia="zh-CN"/>
              </w:rPr>
              <w:t>0</w:t>
            </w:r>
            <w:r>
              <w:rPr>
                <w:rFonts w:hint="eastAsia" w:ascii="宋体" w:hAnsi="宋体" w:eastAsia="宋体" w:cs="宋体"/>
                <w:color w:val="0000FF"/>
                <w:sz w:val="21"/>
                <w:szCs w:val="21"/>
                <w:highlight w:val="none"/>
                <w:shd w:val="clear" w:color="auto" w:fill="FFFFFF"/>
                <w:lang w:eastAsia="zh-CN"/>
              </w:rPr>
              <w:t>0</w:t>
            </w:r>
            <w:r>
              <w:rPr>
                <w:rFonts w:hint="eastAsia" w:ascii="宋体" w:hAnsi="宋体" w:eastAsia="宋体" w:cs="宋体"/>
                <w:color w:val="auto"/>
                <w:sz w:val="21"/>
                <w:szCs w:val="21"/>
                <w:highlight w:val="none"/>
                <w:shd w:val="clear" w:color="auto" w:fill="FFFFFF"/>
                <w:lang w:eastAsia="zh-CN"/>
              </w:rPr>
              <w:t>。</w:t>
            </w:r>
          </w:p>
        </w:tc>
      </w:tr>
      <w:tr w14:paraId="5B4F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14:paraId="2B4967EB">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开标时间、地点</w:t>
            </w:r>
          </w:p>
        </w:tc>
        <w:tc>
          <w:tcPr>
            <w:tcW w:w="7766" w:type="dxa"/>
            <w:gridSpan w:val="3"/>
            <w:vAlign w:val="center"/>
          </w:tcPr>
          <w:p w14:paraId="26B16735">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时  间：</w:t>
            </w:r>
            <w:r>
              <w:rPr>
                <w:rFonts w:hint="eastAsia" w:ascii="宋体" w:hAnsi="宋体" w:eastAsia="宋体" w:cs="宋体"/>
                <w:color w:val="0000FF"/>
                <w:sz w:val="21"/>
                <w:szCs w:val="21"/>
                <w:highlight w:val="none"/>
                <w:shd w:val="clear" w:color="auto" w:fill="FFFFFF"/>
                <w:lang w:eastAsia="zh-CN"/>
              </w:rPr>
              <w:t>202</w:t>
            </w:r>
            <w:r>
              <w:rPr>
                <w:rFonts w:hint="eastAsia" w:ascii="宋体" w:hAnsi="宋体" w:eastAsia="宋体" w:cs="宋体"/>
                <w:color w:val="0000FF"/>
                <w:sz w:val="21"/>
                <w:szCs w:val="21"/>
                <w:highlight w:val="none"/>
                <w:shd w:val="clear" w:color="auto" w:fill="FFFFFF"/>
                <w:lang w:val="en-US" w:eastAsia="zh-CN"/>
              </w:rPr>
              <w:t>5</w:t>
            </w:r>
            <w:r>
              <w:rPr>
                <w:rFonts w:hint="eastAsia" w:ascii="宋体" w:hAnsi="宋体" w:eastAsia="宋体" w:cs="宋体"/>
                <w:color w:val="0000FF"/>
                <w:sz w:val="21"/>
                <w:szCs w:val="21"/>
                <w:highlight w:val="none"/>
                <w:shd w:val="clear" w:color="auto" w:fill="FFFFFF"/>
                <w:lang w:eastAsia="zh-CN"/>
              </w:rPr>
              <w:t>年</w:t>
            </w:r>
            <w:r>
              <w:rPr>
                <w:rFonts w:hint="eastAsia" w:ascii="宋体" w:hAnsi="宋体" w:eastAsia="宋体" w:cs="宋体"/>
                <w:color w:val="0000FF"/>
                <w:sz w:val="21"/>
                <w:szCs w:val="21"/>
                <w:highlight w:val="none"/>
                <w:shd w:val="clear" w:color="auto" w:fill="FFFFFF"/>
                <w:lang w:val="en-US" w:eastAsia="zh-CN"/>
              </w:rPr>
              <w:t>7</w:t>
            </w:r>
            <w:r>
              <w:rPr>
                <w:rFonts w:hint="eastAsia" w:ascii="宋体" w:hAnsi="宋体" w:eastAsia="宋体" w:cs="宋体"/>
                <w:color w:val="0000FF"/>
                <w:sz w:val="21"/>
                <w:szCs w:val="21"/>
                <w:highlight w:val="none"/>
                <w:shd w:val="clear" w:color="auto" w:fill="FFFFFF"/>
                <w:lang w:eastAsia="zh-CN"/>
              </w:rPr>
              <w:t>月</w:t>
            </w:r>
            <w:r>
              <w:rPr>
                <w:rFonts w:hint="eastAsia" w:ascii="宋体" w:hAnsi="宋体" w:eastAsia="宋体" w:cs="宋体"/>
                <w:color w:val="0000FF"/>
                <w:sz w:val="21"/>
                <w:szCs w:val="21"/>
                <w:highlight w:val="none"/>
                <w:shd w:val="clear" w:color="auto" w:fill="FFFFFF"/>
                <w:lang w:val="en-US" w:eastAsia="zh-CN"/>
              </w:rPr>
              <w:t>9</w:t>
            </w:r>
            <w:r>
              <w:rPr>
                <w:rFonts w:hint="eastAsia" w:ascii="宋体" w:hAnsi="宋体" w:eastAsia="宋体" w:cs="宋体"/>
                <w:color w:val="0000FF"/>
                <w:sz w:val="21"/>
                <w:szCs w:val="21"/>
                <w:highlight w:val="none"/>
                <w:shd w:val="clear" w:color="auto" w:fill="FFFFFF"/>
                <w:lang w:eastAsia="zh-CN"/>
              </w:rPr>
              <w:t>日</w:t>
            </w:r>
            <w:r>
              <w:rPr>
                <w:rFonts w:hint="eastAsia" w:ascii="宋体" w:hAnsi="宋体" w:eastAsia="宋体" w:cs="宋体"/>
                <w:color w:val="0000FF"/>
                <w:sz w:val="21"/>
                <w:szCs w:val="21"/>
                <w:highlight w:val="none"/>
                <w:shd w:val="clear" w:color="auto" w:fill="FFFFFF"/>
                <w:lang w:val="en-US" w:eastAsia="zh-CN"/>
              </w:rPr>
              <w:t>9</w:t>
            </w:r>
            <w:r>
              <w:rPr>
                <w:rFonts w:hint="eastAsia" w:ascii="宋体" w:hAnsi="宋体" w:eastAsia="宋体" w:cs="宋体"/>
                <w:color w:val="0000FF"/>
                <w:sz w:val="21"/>
                <w:szCs w:val="21"/>
                <w:highlight w:val="none"/>
                <w:shd w:val="clear" w:color="auto" w:fill="FFFFFF"/>
                <w:lang w:eastAsia="zh-CN"/>
              </w:rPr>
              <w:t>:</w:t>
            </w:r>
            <w:r>
              <w:rPr>
                <w:rFonts w:hint="eastAsia" w:ascii="宋体" w:hAnsi="宋体" w:eastAsia="宋体" w:cs="宋体"/>
                <w:color w:val="0000FF"/>
                <w:sz w:val="21"/>
                <w:szCs w:val="21"/>
                <w:highlight w:val="none"/>
                <w:shd w:val="clear" w:color="auto" w:fill="FFFFFF"/>
                <w:lang w:val="en-US" w:eastAsia="zh-CN"/>
              </w:rPr>
              <w:t>0</w:t>
            </w:r>
            <w:r>
              <w:rPr>
                <w:rFonts w:hint="eastAsia" w:ascii="宋体" w:hAnsi="宋体" w:eastAsia="宋体" w:cs="宋体"/>
                <w:color w:val="0000FF"/>
                <w:sz w:val="21"/>
                <w:szCs w:val="21"/>
                <w:highlight w:val="none"/>
                <w:shd w:val="clear" w:color="auto" w:fill="FFFFFF"/>
                <w:lang w:eastAsia="zh-CN"/>
              </w:rPr>
              <w:t>0</w:t>
            </w:r>
            <w:r>
              <w:rPr>
                <w:rFonts w:hint="eastAsia" w:ascii="宋体" w:hAnsi="宋体" w:eastAsia="宋体" w:cs="宋体"/>
                <w:color w:val="auto"/>
                <w:sz w:val="21"/>
                <w:szCs w:val="21"/>
                <w:highlight w:val="none"/>
                <w:shd w:val="clear" w:color="auto" w:fill="FFFFFF"/>
                <w:lang w:eastAsia="zh-CN"/>
              </w:rPr>
              <w:t>。</w:t>
            </w:r>
          </w:p>
          <w:p w14:paraId="281A0562">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点：常州市金坛区金鑫路165号中景商务楼A座8楼809室。</w:t>
            </w:r>
          </w:p>
        </w:tc>
      </w:tr>
      <w:tr w14:paraId="780A9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743" w:type="dxa"/>
            <w:vAlign w:val="center"/>
          </w:tcPr>
          <w:p w14:paraId="71E77047">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color w:val="auto"/>
                <w:sz w:val="21"/>
                <w:szCs w:val="21"/>
              </w:rPr>
            </w:pPr>
            <w:r>
              <w:rPr>
                <w:rFonts w:hint="eastAsia" w:ascii="宋体" w:hAnsi="宋体" w:eastAsia="宋体" w:cs="宋体"/>
                <w:b/>
                <w:bCs/>
                <w:snapToGrid w:val="0"/>
                <w:color w:val="auto"/>
                <w:sz w:val="21"/>
                <w:szCs w:val="21"/>
              </w:rPr>
              <w:t>控制价</w:t>
            </w:r>
          </w:p>
        </w:tc>
        <w:tc>
          <w:tcPr>
            <w:tcW w:w="7766" w:type="dxa"/>
            <w:gridSpan w:val="3"/>
          </w:tcPr>
          <w:p w14:paraId="112A6153">
            <w:pPr>
              <w:keepNext w:val="0"/>
              <w:keepLines w:val="0"/>
              <w:pageBreakBefore w:val="0"/>
              <w:widowControl/>
              <w:suppressLineNumbers w:val="0"/>
              <w:kinsoku/>
              <w:wordWrap/>
              <w:overflowPunct/>
              <w:topLinePunct w:val="0"/>
              <w:autoSpaceDE/>
              <w:autoSpaceDN/>
              <w:bidi w:val="0"/>
              <w:spacing w:line="400" w:lineRule="exact"/>
              <w:jc w:val="left"/>
              <w:textAlignment w:val="auto"/>
              <w:rPr>
                <w:rFonts w:hint="eastAsia" w:ascii="宋体" w:hAnsi="宋体" w:eastAsia="宋体" w:cs="宋体"/>
                <w:snapToGrid w:val="0"/>
                <w:color w:val="auto"/>
                <w:sz w:val="21"/>
                <w:szCs w:val="21"/>
                <w:highlight w:val="none"/>
              </w:rPr>
            </w:pPr>
            <w:r>
              <w:rPr>
                <w:rFonts w:hint="eastAsia" w:ascii="宋体" w:hAnsi="宋体" w:eastAsia="宋体" w:cs="宋体"/>
                <w:b w:val="0"/>
                <w:snapToGrid/>
                <w:color w:val="0000FF"/>
                <w:kern w:val="2"/>
                <w:sz w:val="21"/>
                <w:szCs w:val="21"/>
                <w:highlight w:val="none"/>
                <w:u w:val="single"/>
                <w:lang w:val="en-US" w:eastAsia="zh-CN" w:bidi="ar-SA"/>
              </w:rPr>
              <w:t>79429.71元</w:t>
            </w:r>
            <w:r>
              <w:rPr>
                <w:rFonts w:hint="eastAsia" w:ascii="宋体" w:hAnsi="宋体" w:eastAsia="宋体" w:cs="宋体"/>
                <w:b w:val="0"/>
                <w:snapToGrid/>
                <w:kern w:val="2"/>
                <w:sz w:val="21"/>
                <w:szCs w:val="21"/>
                <w:highlight w:val="none"/>
                <w:u w:val="none"/>
                <w:lang w:val="en-US" w:eastAsia="zh-CN" w:bidi="ar-SA"/>
              </w:rPr>
              <w:t>，</w:t>
            </w:r>
            <w:r>
              <w:rPr>
                <w:rFonts w:hint="eastAsia" w:ascii="宋体" w:hAnsi="宋体" w:eastAsia="宋体" w:cs="宋体"/>
                <w:b w:val="0"/>
                <w:snapToGrid/>
                <w:kern w:val="2"/>
                <w:sz w:val="21"/>
                <w:szCs w:val="21"/>
                <w:lang w:val="en-US" w:eastAsia="zh-CN" w:bidi="ar-SA"/>
              </w:rPr>
              <w:t>投标报价超过控制价或任一项目综合单价为0、负数、超过控制单价或缺项者均作无效标处理)</w:t>
            </w:r>
          </w:p>
        </w:tc>
      </w:tr>
      <w:tr w14:paraId="26C1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61690C5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napToGrid w:val="0"/>
                <w:sz w:val="21"/>
                <w:szCs w:val="21"/>
              </w:rPr>
            </w:pPr>
            <w:r>
              <w:rPr>
                <w:rFonts w:hint="eastAsia" w:ascii="宋体" w:hAnsi="宋体" w:eastAsia="宋体" w:cs="宋体"/>
                <w:b/>
                <w:bCs/>
                <w:snapToGrid w:val="0"/>
                <w:sz w:val="21"/>
                <w:szCs w:val="21"/>
              </w:rPr>
              <w:t>评标办法</w:t>
            </w:r>
          </w:p>
        </w:tc>
        <w:tc>
          <w:tcPr>
            <w:tcW w:w="7766" w:type="dxa"/>
            <w:gridSpan w:val="3"/>
            <w:vAlign w:val="center"/>
          </w:tcPr>
          <w:p w14:paraId="4F2E8B83">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snapToGrid w:val="0"/>
                <w:sz w:val="21"/>
                <w:szCs w:val="21"/>
              </w:rPr>
            </w:pPr>
            <w:r>
              <w:rPr>
                <w:rFonts w:hint="eastAsia" w:ascii="宋体" w:hAnsi="宋体" w:eastAsia="宋体" w:cs="宋体"/>
                <w:sz w:val="21"/>
                <w:szCs w:val="21"/>
              </w:rPr>
              <w:t>具体详见本招标文件第五章</w:t>
            </w:r>
          </w:p>
        </w:tc>
      </w:tr>
      <w:tr w14:paraId="42EEA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14:paraId="03007A71">
            <w:pPr>
              <w:keepNext w:val="0"/>
              <w:keepLines w:val="0"/>
              <w:pageBreakBefore w:val="0"/>
              <w:kinsoku/>
              <w:wordWrap/>
              <w:overflowPunct/>
              <w:topLinePunct w:val="0"/>
              <w:autoSpaceDE/>
              <w:autoSpaceDN/>
              <w:bidi w:val="0"/>
              <w:spacing w:line="400" w:lineRule="exact"/>
              <w:ind w:firstLine="211" w:firstLineChars="100"/>
              <w:textAlignment w:val="auto"/>
              <w:rPr>
                <w:rFonts w:hint="eastAsia" w:ascii="宋体" w:hAnsi="宋体" w:eastAsia="宋体" w:cs="宋体"/>
                <w:b/>
                <w:bCs/>
                <w:sz w:val="21"/>
                <w:szCs w:val="21"/>
              </w:rPr>
            </w:pPr>
            <w:r>
              <w:rPr>
                <w:rFonts w:hint="eastAsia" w:ascii="宋体" w:hAnsi="宋体" w:eastAsia="宋体" w:cs="宋体"/>
                <w:b/>
                <w:bCs/>
                <w:sz w:val="21"/>
                <w:szCs w:val="21"/>
              </w:rPr>
              <w:t>履约保证金</w:t>
            </w:r>
          </w:p>
        </w:tc>
        <w:tc>
          <w:tcPr>
            <w:tcW w:w="7766" w:type="dxa"/>
            <w:gridSpan w:val="3"/>
            <w:vAlign w:val="center"/>
          </w:tcPr>
          <w:p w14:paraId="2F63B5B9">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FF"/>
                <w:sz w:val="21"/>
                <w:szCs w:val="21"/>
                <w:highlight w:val="none"/>
                <w:lang w:val="en-US" w:eastAsia="zh-CN"/>
              </w:rPr>
              <w:t>合同价款的</w:t>
            </w:r>
            <w:r>
              <w:rPr>
                <w:rFonts w:hint="eastAsia" w:ascii="宋体" w:hAnsi="宋体" w:eastAsia="宋体" w:cs="宋体"/>
                <w:color w:val="0000FF"/>
                <w:sz w:val="21"/>
                <w:szCs w:val="21"/>
                <w:highlight w:val="none"/>
                <w:u w:val="none"/>
                <w:lang w:val="en-US" w:eastAsia="zh-CN"/>
              </w:rPr>
              <w:t>10%（现金）</w:t>
            </w:r>
            <w:r>
              <w:rPr>
                <w:rFonts w:hint="eastAsia" w:ascii="宋体" w:hAnsi="宋体" w:eastAsia="宋体" w:cs="宋体"/>
                <w:color w:val="0000FF"/>
                <w:sz w:val="21"/>
                <w:szCs w:val="21"/>
                <w:highlight w:val="none"/>
                <w:lang w:val="en-US" w:eastAsia="zh-CN"/>
              </w:rPr>
              <w:t>，</w:t>
            </w:r>
            <w:r>
              <w:rPr>
                <w:rFonts w:hint="eastAsia" w:ascii="宋体" w:hAnsi="宋体" w:eastAsia="宋体" w:cs="宋体"/>
                <w:color w:val="auto"/>
                <w:sz w:val="21"/>
                <w:szCs w:val="21"/>
                <w:highlight w:val="none"/>
                <w:lang w:val="en-US" w:eastAsia="zh-CN"/>
              </w:rPr>
              <w:t>合同签订前交至甲方指定账户，工程竣工验收合格后一次性退还（不计息）。</w:t>
            </w:r>
          </w:p>
          <w:p w14:paraId="091B32AC">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中标供应商必须将履约保证金从公司基本账户按规定方式和时间缴至指定账户并到账，拒绝以其他方式缴纳</w:t>
            </w:r>
            <w:r>
              <w:rPr>
                <w:rFonts w:hint="eastAsia" w:ascii="宋体" w:hAnsi="宋体" w:eastAsia="宋体" w:cs="宋体"/>
                <w:b/>
                <w:bCs/>
                <w:color w:val="auto"/>
                <w:sz w:val="21"/>
                <w:szCs w:val="21"/>
                <w:highlight w:val="none"/>
                <w:lang w:val="en-US" w:eastAsia="zh-CN"/>
              </w:rPr>
              <w:t>（请备注工程名称）</w:t>
            </w:r>
            <w:r>
              <w:rPr>
                <w:rFonts w:hint="eastAsia" w:ascii="宋体" w:hAnsi="宋体" w:eastAsia="宋体" w:cs="宋体"/>
                <w:color w:val="auto"/>
                <w:sz w:val="21"/>
                <w:szCs w:val="21"/>
                <w:highlight w:val="none"/>
                <w:lang w:val="en-US" w:eastAsia="zh-CN"/>
              </w:rPr>
              <w:t>。</w:t>
            </w:r>
          </w:p>
        </w:tc>
      </w:tr>
      <w:tr w14:paraId="0F07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6D0E6A6E">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注意事项</w:t>
            </w:r>
          </w:p>
        </w:tc>
        <w:tc>
          <w:tcPr>
            <w:tcW w:w="7766" w:type="dxa"/>
            <w:gridSpan w:val="3"/>
          </w:tcPr>
          <w:p w14:paraId="5F9B39DB">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1、如法定代表人出席开标会，需手持法定代表人资格证明书原件（除投标书中另外单独手持一份）、本人第二代身份证原件及投标保证金出席开标会，否则招标人将拒绝其投标；</w:t>
            </w:r>
          </w:p>
          <w:p w14:paraId="483F4F08">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2、如委托代理人参加开标会，需手持法定代表人授权委托书原件（除投标书中另外单独手持一份）、本人第二代身份证原件及投标保证金准时参加开标会议，否则招标人将拒绝其投标。</w:t>
            </w:r>
          </w:p>
          <w:p w14:paraId="23185D16">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3、以上参加人员在开标时间截止时有下列情形之一的，视为自动放弃投标处理，招标人不予受理：</w:t>
            </w:r>
          </w:p>
          <w:p w14:paraId="4C862ADB">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1）未到达开标现场的；</w:t>
            </w:r>
          </w:p>
          <w:p w14:paraId="295608A4">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2）未参加投标签到的；</w:t>
            </w:r>
          </w:p>
          <w:p w14:paraId="38525F00">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3）身份核验时未能提供身份证明、授权委托书、投标保证金等相关材料的。</w:t>
            </w:r>
          </w:p>
          <w:p w14:paraId="0731CE40">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4、关于结算审核费：本工程结算审核的核减费费率控制在8%内（含8%）。如12%≥核减费费率＞8%时，审核费用乙方必须承担全部审计费用的一半；核减费费率＞12%时，该工程所有审计费均由乙方承担。</w:t>
            </w:r>
          </w:p>
          <w:p w14:paraId="76940802">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5、所有垃圾清理外运：</w:t>
            </w:r>
            <w:r>
              <w:rPr>
                <w:rFonts w:hint="eastAsia" w:ascii="宋体" w:hAnsi="宋体" w:eastAsia="宋体" w:cs="宋体"/>
                <w:color w:val="auto"/>
                <w:sz w:val="21"/>
                <w:szCs w:val="21"/>
              </w:rPr>
              <w:t>建筑垃圾处理执行《常州市金坛区建筑垃圾收集运输和处置管理规定》（详见坛政规【2024】3号文）。 施工现场建筑垃圾管理的相关措施须符合《关于进一步加强建筑垃圾管理工作的实施方案》（常政办发〔2024〕17号）文件要求，相关费用包含在投标报价中。</w:t>
            </w:r>
          </w:p>
          <w:p w14:paraId="4986DB4B">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6、施工过程中扬尘、噪音控制等需符合相关文件规定费用各投标单位在投标报价中自行考虑，不再另行结算。</w:t>
            </w:r>
          </w:p>
          <w:p w14:paraId="3C17656A">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7、本项目服务费为中标价的1500元，由中标单位在领取中标通知书时，以现金形式一次性支付给采购代理单位，各投标单位在投标报价时综合考虑。</w:t>
            </w:r>
          </w:p>
          <w:p w14:paraId="605BA206">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8、各投标单位投标时报价不得超过招标控制总价；各分部分项工程综合单价均不得超过控制价中对应综合单价。</w:t>
            </w:r>
          </w:p>
        </w:tc>
      </w:tr>
    </w:tbl>
    <w:p w14:paraId="1AEE2371">
      <w:pPr>
        <w:keepNext w:val="0"/>
        <w:keepLines w:val="0"/>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宋体" w:hAnsi="宋体" w:eastAsia="宋体" w:cs="宋体"/>
          <w:b/>
          <w:bCs/>
          <w:snapToGrid w:val="0"/>
          <w:sz w:val="21"/>
          <w:szCs w:val="21"/>
        </w:rPr>
      </w:pPr>
      <w:r>
        <w:rPr>
          <w:rFonts w:hint="eastAsia" w:ascii="宋体" w:hAnsi="宋体"/>
          <w:b/>
          <w:bCs/>
          <w:snapToGrid w:val="0"/>
          <w:sz w:val="24"/>
        </w:rPr>
        <w:br w:type="page"/>
      </w:r>
      <w:r>
        <w:rPr>
          <w:rFonts w:hint="eastAsia" w:ascii="宋体" w:hAnsi="宋体" w:eastAsia="宋体" w:cs="宋体"/>
          <w:b/>
          <w:bCs/>
          <w:snapToGrid w:val="0"/>
          <w:sz w:val="21"/>
          <w:szCs w:val="21"/>
        </w:rPr>
        <w:t>一、总 则</w:t>
      </w:r>
    </w:p>
    <w:p w14:paraId="0B17A4AC">
      <w:pPr>
        <w:keepNext w:val="0"/>
        <w:keepLines w:val="0"/>
        <w:pageBreakBefore w:val="0"/>
        <w:kinsoku/>
        <w:wordWrap/>
        <w:overflowPunct/>
        <w:topLinePunct w:val="0"/>
        <w:autoSpaceDE/>
        <w:autoSpaceDN/>
        <w:bidi w:val="0"/>
        <w:adjustRightInd w:val="0"/>
        <w:snapToGrid w:val="0"/>
        <w:spacing w:line="400" w:lineRule="exact"/>
        <w:ind w:left="0" w:leftChars="0" w:firstLine="24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（一）工程概况</w:t>
      </w:r>
    </w:p>
    <w:p w14:paraId="652FD63E">
      <w:pPr>
        <w:keepNext w:val="0"/>
        <w:keepLines w:val="0"/>
        <w:pageBreakBefore w:val="0"/>
        <w:kinsoku/>
        <w:wordWrap/>
        <w:overflowPunct/>
        <w:topLinePunct w:val="0"/>
        <w:autoSpaceDE/>
        <w:autoSpaceDN/>
        <w:bidi w:val="0"/>
        <w:adjustRightInd w:val="0"/>
        <w:snapToGrid w:val="0"/>
        <w:spacing w:line="400" w:lineRule="exact"/>
        <w:ind w:left="0" w:leftChars="0" w:firstLine="697" w:firstLineChars="332"/>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1、现场施工条件</w:t>
      </w:r>
    </w:p>
    <w:p w14:paraId="21933420">
      <w:pPr>
        <w:keepNext w:val="0"/>
        <w:keepLines w:val="0"/>
        <w:pageBreakBefore w:val="0"/>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u w:val="single"/>
        </w:rPr>
      </w:pPr>
      <w:r>
        <w:rPr>
          <w:rFonts w:hint="eastAsia" w:ascii="宋体" w:hAnsi="宋体" w:eastAsia="宋体" w:cs="宋体"/>
          <w:snapToGrid w:val="0"/>
          <w:sz w:val="21"/>
          <w:szCs w:val="21"/>
        </w:rPr>
        <w:t xml:space="preserve">         (1)建设用地面积</w:t>
      </w:r>
      <w:r>
        <w:rPr>
          <w:rFonts w:hint="eastAsia" w:ascii="宋体" w:hAnsi="宋体" w:eastAsia="宋体" w:cs="宋体"/>
          <w:snapToGrid w:val="0"/>
          <w:sz w:val="21"/>
          <w:szCs w:val="21"/>
          <w:u w:val="single"/>
        </w:rPr>
        <w:t xml:space="preserve">         已批准           </w:t>
      </w:r>
      <w:r>
        <w:rPr>
          <w:rFonts w:hint="eastAsia" w:ascii="宋体" w:hAnsi="宋体" w:eastAsia="宋体" w:cs="宋体"/>
          <w:snapToGrid w:val="0"/>
          <w:sz w:val="21"/>
          <w:szCs w:val="21"/>
        </w:rPr>
        <w:t>；</w:t>
      </w:r>
    </w:p>
    <w:p w14:paraId="1460D40F">
      <w:pPr>
        <w:keepNext w:val="0"/>
        <w:keepLines w:val="0"/>
        <w:pageBreakBefore w:val="0"/>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u w:val="single"/>
        </w:rPr>
      </w:pPr>
      <w:r>
        <w:rPr>
          <w:rFonts w:hint="eastAsia" w:ascii="宋体" w:hAnsi="宋体" w:eastAsia="宋体" w:cs="宋体"/>
          <w:snapToGrid w:val="0"/>
          <w:sz w:val="21"/>
          <w:szCs w:val="21"/>
        </w:rPr>
        <w:t xml:space="preserve">         (2)场地拆迁及平整情况</w:t>
      </w:r>
      <w:r>
        <w:rPr>
          <w:rFonts w:hint="eastAsia" w:ascii="宋体" w:hAnsi="宋体" w:eastAsia="宋体" w:cs="宋体"/>
          <w:snapToGrid w:val="0"/>
          <w:sz w:val="21"/>
          <w:szCs w:val="21"/>
          <w:u w:val="single"/>
        </w:rPr>
        <w:t xml:space="preserve">   已完成           </w:t>
      </w:r>
      <w:r>
        <w:rPr>
          <w:rFonts w:hint="eastAsia" w:ascii="宋体" w:hAnsi="宋体" w:eastAsia="宋体" w:cs="宋体"/>
          <w:snapToGrid w:val="0"/>
          <w:sz w:val="21"/>
          <w:szCs w:val="21"/>
        </w:rPr>
        <w:t>；</w:t>
      </w:r>
    </w:p>
    <w:p w14:paraId="3C04A8BA">
      <w:pPr>
        <w:keepNext w:val="0"/>
        <w:keepLines w:val="0"/>
        <w:pageBreakBefore w:val="0"/>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 xml:space="preserve">         (3)施工用水、电</w:t>
      </w:r>
      <w:r>
        <w:rPr>
          <w:rFonts w:hint="eastAsia" w:ascii="宋体" w:hAnsi="宋体" w:eastAsia="宋体" w:cs="宋体"/>
          <w:snapToGrid w:val="0"/>
          <w:sz w:val="21"/>
          <w:szCs w:val="21"/>
          <w:u w:val="single"/>
        </w:rPr>
        <w:t xml:space="preserve">         已接通           </w:t>
      </w:r>
      <w:r>
        <w:rPr>
          <w:rFonts w:hint="eastAsia" w:ascii="宋体" w:hAnsi="宋体" w:eastAsia="宋体" w:cs="宋体"/>
          <w:snapToGrid w:val="0"/>
          <w:sz w:val="21"/>
          <w:szCs w:val="21"/>
        </w:rPr>
        <w:t>；</w:t>
      </w:r>
    </w:p>
    <w:p w14:paraId="22D27824">
      <w:pPr>
        <w:keepNext w:val="0"/>
        <w:keepLines w:val="0"/>
        <w:pageBreakBefore w:val="0"/>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u w:val="single"/>
        </w:rPr>
      </w:pPr>
      <w:r>
        <w:rPr>
          <w:rFonts w:hint="eastAsia" w:ascii="宋体" w:hAnsi="宋体" w:eastAsia="宋体" w:cs="宋体"/>
          <w:snapToGrid w:val="0"/>
          <w:sz w:val="21"/>
          <w:szCs w:val="21"/>
        </w:rPr>
        <w:t xml:space="preserve">         (4)有关勘探资料</w:t>
      </w:r>
      <w:r>
        <w:rPr>
          <w:rFonts w:hint="eastAsia" w:ascii="宋体" w:hAnsi="宋体" w:eastAsia="宋体" w:cs="宋体"/>
          <w:snapToGrid w:val="0"/>
          <w:sz w:val="21"/>
          <w:szCs w:val="21"/>
          <w:u w:val="single"/>
        </w:rPr>
        <w:t xml:space="preserve">         已完成           </w:t>
      </w:r>
      <w:r>
        <w:rPr>
          <w:rFonts w:hint="eastAsia" w:ascii="宋体" w:hAnsi="宋体" w:eastAsia="宋体" w:cs="宋体"/>
          <w:snapToGrid w:val="0"/>
          <w:sz w:val="21"/>
          <w:szCs w:val="21"/>
        </w:rPr>
        <w:t>；</w:t>
      </w:r>
    </w:p>
    <w:p w14:paraId="0FA8CB99">
      <w:pPr>
        <w:keepNext w:val="0"/>
        <w:keepLines w:val="0"/>
        <w:pageBreakBefore w:val="0"/>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 xml:space="preserve">         (5)其它</w:t>
      </w:r>
      <w:r>
        <w:rPr>
          <w:rFonts w:hint="eastAsia" w:ascii="宋体" w:hAnsi="宋体" w:eastAsia="宋体" w:cs="宋体"/>
          <w:snapToGrid w:val="0"/>
          <w:sz w:val="21"/>
          <w:szCs w:val="21"/>
          <w:u w:val="single"/>
        </w:rPr>
        <w:t xml:space="preserve">                 无               </w:t>
      </w:r>
      <w:r>
        <w:rPr>
          <w:rFonts w:hint="eastAsia" w:ascii="宋体" w:hAnsi="宋体" w:eastAsia="宋体" w:cs="宋体"/>
          <w:snapToGrid w:val="0"/>
          <w:sz w:val="21"/>
          <w:szCs w:val="21"/>
        </w:rPr>
        <w:t>。</w:t>
      </w:r>
    </w:p>
    <w:p w14:paraId="77F99C5A">
      <w:pPr>
        <w:keepNext w:val="0"/>
        <w:keepLines w:val="0"/>
        <w:pageBreakBefore w:val="0"/>
        <w:numPr>
          <w:ilvl w:val="0"/>
          <w:numId w:val="1"/>
        </w:numPr>
        <w:kinsoku/>
        <w:wordWrap/>
        <w:overflowPunct/>
        <w:topLinePunct w:val="0"/>
        <w:autoSpaceDE/>
        <w:autoSpaceDN/>
        <w:bidi w:val="0"/>
        <w:adjustRightInd w:val="0"/>
        <w:snapToGrid w:val="0"/>
        <w:spacing w:line="400" w:lineRule="exact"/>
        <w:ind w:left="0" w:leftChars="0" w:firstLine="703" w:firstLineChars="335"/>
        <w:textAlignment w:val="auto"/>
        <w:rPr>
          <w:rFonts w:hint="eastAsia" w:ascii="宋体" w:hAnsi="宋体" w:eastAsia="宋体" w:cs="宋体"/>
          <w:snapToGrid w:val="0"/>
          <w:sz w:val="21"/>
          <w:szCs w:val="21"/>
          <w:u w:val="single"/>
        </w:rPr>
      </w:pPr>
      <w:r>
        <w:rPr>
          <w:rFonts w:hint="eastAsia" w:ascii="宋体" w:hAnsi="宋体" w:eastAsia="宋体" w:cs="宋体"/>
          <w:snapToGrid w:val="0"/>
          <w:sz w:val="21"/>
          <w:szCs w:val="21"/>
        </w:rPr>
        <w:t>工程资金来源</w:t>
      </w:r>
      <w:r>
        <w:rPr>
          <w:rFonts w:hint="eastAsia" w:ascii="宋体" w:hAnsi="宋体" w:eastAsia="宋体" w:cs="宋体"/>
          <w:snapToGrid w:val="0"/>
          <w:sz w:val="21"/>
          <w:szCs w:val="21"/>
          <w:u w:val="single"/>
        </w:rPr>
        <w:t xml:space="preserve">             </w:t>
      </w:r>
      <w:r>
        <w:rPr>
          <w:rFonts w:hint="eastAsia" w:ascii="宋体" w:hAnsi="宋体" w:eastAsia="宋体" w:cs="宋体"/>
          <w:snapToGrid w:val="0"/>
          <w:sz w:val="21"/>
          <w:szCs w:val="21"/>
          <w:u w:val="single"/>
          <w:lang w:eastAsia="zh-CN"/>
        </w:rPr>
        <w:t>财政</w:t>
      </w:r>
      <w:r>
        <w:rPr>
          <w:rFonts w:hint="eastAsia" w:ascii="宋体" w:hAnsi="宋体" w:eastAsia="宋体" w:cs="宋体"/>
          <w:snapToGrid w:val="0"/>
          <w:sz w:val="21"/>
          <w:szCs w:val="21"/>
          <w:u w:val="single"/>
        </w:rPr>
        <w:t xml:space="preserve">           </w:t>
      </w:r>
      <w:r>
        <w:rPr>
          <w:rFonts w:hint="eastAsia" w:ascii="宋体" w:hAnsi="宋体" w:eastAsia="宋体" w:cs="宋体"/>
          <w:snapToGrid w:val="0"/>
          <w:sz w:val="21"/>
          <w:szCs w:val="21"/>
        </w:rPr>
        <w:t>。</w:t>
      </w:r>
    </w:p>
    <w:p w14:paraId="554CA766">
      <w:pPr>
        <w:keepNext w:val="0"/>
        <w:keepLines w:val="0"/>
        <w:pageBreakBefore w:val="0"/>
        <w:numPr>
          <w:ilvl w:val="0"/>
          <w:numId w:val="1"/>
        </w:numPr>
        <w:kinsoku/>
        <w:wordWrap/>
        <w:overflowPunct/>
        <w:topLinePunct w:val="0"/>
        <w:autoSpaceDE/>
        <w:autoSpaceDN/>
        <w:bidi w:val="0"/>
        <w:adjustRightInd w:val="0"/>
        <w:snapToGrid w:val="0"/>
        <w:spacing w:line="400" w:lineRule="exact"/>
        <w:ind w:left="0" w:leftChars="0" w:firstLine="703" w:firstLineChars="335"/>
        <w:textAlignment w:val="auto"/>
        <w:rPr>
          <w:rFonts w:hint="eastAsia" w:ascii="宋体" w:hAnsi="宋体" w:eastAsia="宋体" w:cs="宋体"/>
          <w:snapToGrid w:val="0"/>
          <w:sz w:val="21"/>
          <w:szCs w:val="21"/>
          <w:u w:val="single"/>
        </w:rPr>
      </w:pPr>
      <w:r>
        <w:rPr>
          <w:rFonts w:hint="eastAsia" w:ascii="宋体" w:hAnsi="宋体" w:eastAsia="宋体" w:cs="宋体"/>
          <w:snapToGrid w:val="0"/>
          <w:sz w:val="21"/>
          <w:szCs w:val="21"/>
        </w:rPr>
        <w:t>工程资金落实情况</w:t>
      </w:r>
      <w:r>
        <w:rPr>
          <w:rFonts w:hint="eastAsia" w:ascii="宋体" w:hAnsi="宋体" w:eastAsia="宋体" w:cs="宋体"/>
          <w:snapToGrid w:val="0"/>
          <w:sz w:val="21"/>
          <w:szCs w:val="21"/>
          <w:u w:val="single"/>
        </w:rPr>
        <w:t xml:space="preserve">         已落实         </w:t>
      </w:r>
      <w:r>
        <w:rPr>
          <w:rFonts w:hint="eastAsia" w:ascii="宋体" w:hAnsi="宋体" w:eastAsia="宋体" w:cs="宋体"/>
          <w:snapToGrid w:val="0"/>
          <w:sz w:val="21"/>
          <w:szCs w:val="21"/>
        </w:rPr>
        <w:t>。</w:t>
      </w:r>
    </w:p>
    <w:p w14:paraId="64305472">
      <w:pPr>
        <w:keepNext w:val="0"/>
        <w:keepLines w:val="0"/>
        <w:pageBreakBefore w:val="0"/>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 xml:space="preserve">  （二）投标费用                                                      </w:t>
      </w:r>
    </w:p>
    <w:p w14:paraId="0EFF3D93">
      <w:pPr>
        <w:keepNext w:val="0"/>
        <w:keepLines w:val="0"/>
        <w:pageBreakBefore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不管投标结果如何，承包人应承担其编制投标文件与递交投标文件所涉及的一切费用。</w:t>
      </w:r>
    </w:p>
    <w:p w14:paraId="33D144E3">
      <w:pPr>
        <w:keepNext w:val="0"/>
        <w:keepLines w:val="0"/>
        <w:pageBreakBefore w:val="0"/>
        <w:kinsoku/>
        <w:wordWrap/>
        <w:overflowPunct/>
        <w:topLinePunct w:val="0"/>
        <w:autoSpaceDE/>
        <w:autoSpaceDN/>
        <w:bidi w:val="0"/>
        <w:adjustRightInd w:val="0"/>
        <w:snapToGrid w:val="0"/>
        <w:spacing w:line="400" w:lineRule="exact"/>
        <w:ind w:left="0" w:leftChars="0" w:firstLine="210" w:firstLineChars="1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（三）本工程不接受联合体投标。</w:t>
      </w:r>
    </w:p>
    <w:p w14:paraId="667104CD">
      <w:pPr>
        <w:keepNext w:val="0"/>
        <w:keepLines w:val="0"/>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宋体" w:hAnsi="宋体" w:eastAsia="宋体" w:cs="宋体"/>
          <w:b/>
          <w:snapToGrid w:val="0"/>
          <w:sz w:val="21"/>
          <w:szCs w:val="21"/>
        </w:rPr>
      </w:pPr>
      <w:r>
        <w:rPr>
          <w:rFonts w:hint="eastAsia" w:ascii="宋体" w:hAnsi="宋体" w:eastAsia="宋体" w:cs="宋体"/>
          <w:b/>
          <w:snapToGrid w:val="0"/>
          <w:sz w:val="21"/>
          <w:szCs w:val="21"/>
        </w:rPr>
        <w:t>二、招标文件</w:t>
      </w:r>
    </w:p>
    <w:p w14:paraId="4A37F2A0">
      <w:pPr>
        <w:keepNext w:val="0"/>
        <w:keepLines w:val="0"/>
        <w:pageBreakBefore w:val="0"/>
        <w:kinsoku/>
        <w:wordWrap/>
        <w:overflowPunct/>
        <w:topLinePunct w:val="0"/>
        <w:autoSpaceDE/>
        <w:autoSpaceDN/>
        <w:bidi w:val="0"/>
        <w:adjustRightInd w:val="0"/>
        <w:snapToGrid w:val="0"/>
        <w:spacing w:line="400" w:lineRule="exact"/>
        <w:ind w:left="0" w:leftChars="0" w:firstLine="210" w:firstLineChars="1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（四）招标文件的组成</w:t>
      </w:r>
    </w:p>
    <w:p w14:paraId="6BD25AB0">
      <w:pPr>
        <w:keepNext w:val="0"/>
        <w:keepLines w:val="0"/>
        <w:pageBreakBefore w:val="0"/>
        <w:tabs>
          <w:tab w:val="left" w:pos="851"/>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1、招标文件包括本文件及所有按第(五)、（六）条发出的修改澄清通知。</w:t>
      </w:r>
    </w:p>
    <w:p w14:paraId="030CD9C0">
      <w:pPr>
        <w:keepNext w:val="0"/>
        <w:keepLines w:val="0"/>
        <w:pageBreakBefore w:val="0"/>
        <w:tabs>
          <w:tab w:val="left" w:pos="851"/>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2、承包人应认真审阅招标文件所有的内容，如果承包人的投标文件不能实质性地响应招标文件要求，责任由承包人自负。</w:t>
      </w:r>
    </w:p>
    <w:p w14:paraId="56D27453">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24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（五）招标文件的澄清</w:t>
      </w:r>
    </w:p>
    <w:p w14:paraId="5199BEF9">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u w:val="single"/>
        </w:rPr>
      </w:pPr>
      <w:r>
        <w:rPr>
          <w:rFonts w:hint="eastAsia" w:ascii="宋体" w:hAnsi="宋体" w:eastAsia="宋体" w:cs="宋体"/>
          <w:snapToGrid w:val="0"/>
          <w:sz w:val="21"/>
          <w:szCs w:val="21"/>
        </w:rPr>
        <w:t>1、本工程招标文件的澄清采用下列第</w:t>
      </w:r>
      <w:r>
        <w:rPr>
          <w:rFonts w:hint="eastAsia" w:ascii="宋体" w:hAnsi="宋体" w:eastAsia="宋体" w:cs="宋体"/>
          <w:b/>
          <w:snapToGrid w:val="0"/>
          <w:sz w:val="21"/>
          <w:szCs w:val="21"/>
          <w:u w:val="single"/>
        </w:rPr>
        <w:t>（1）</w:t>
      </w:r>
      <w:r>
        <w:rPr>
          <w:rFonts w:hint="eastAsia" w:ascii="宋体" w:hAnsi="宋体" w:eastAsia="宋体" w:cs="宋体"/>
          <w:snapToGrid w:val="0"/>
          <w:sz w:val="21"/>
          <w:szCs w:val="21"/>
        </w:rPr>
        <w:t>种方式：</w:t>
      </w:r>
    </w:p>
    <w:p w14:paraId="4E506850">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(1)承包人在收到招标文件（含工程量清单）和踏勘现场后，若有疑问需要澄清，应于收到招标文件后</w:t>
      </w:r>
      <w:r>
        <w:rPr>
          <w:rFonts w:hint="eastAsia" w:ascii="宋体" w:hAnsi="宋体" w:eastAsia="宋体" w:cs="宋体"/>
          <w:b/>
          <w:snapToGrid w:val="0"/>
          <w:sz w:val="21"/>
          <w:szCs w:val="21"/>
          <w:u w:val="single"/>
        </w:rPr>
        <w:t xml:space="preserve"> 2 </w:t>
      </w:r>
      <w:r>
        <w:rPr>
          <w:rFonts w:hint="eastAsia" w:ascii="宋体" w:hAnsi="宋体" w:eastAsia="宋体" w:cs="宋体"/>
          <w:snapToGrid w:val="0"/>
          <w:sz w:val="21"/>
          <w:szCs w:val="21"/>
        </w:rPr>
        <w:t>日内以书面形式（包括书面文字、传真、电子邮件等）向招标人提出，招标人将以书面形式予以解答。</w:t>
      </w:r>
    </w:p>
    <w:p w14:paraId="32E727B1">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14:paraId="5F102985">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2、所有问题的解答，将在</w:t>
      </w:r>
      <w:r>
        <w:rPr>
          <w:rFonts w:hint="eastAsia" w:ascii="宋体" w:hAnsi="宋体" w:eastAsia="宋体" w:cs="宋体"/>
          <w:b/>
          <w:snapToGrid w:val="0"/>
          <w:sz w:val="21"/>
          <w:szCs w:val="21"/>
          <w:u w:val="single"/>
        </w:rPr>
        <w:t xml:space="preserve"> 2 </w:t>
      </w:r>
      <w:r>
        <w:rPr>
          <w:rFonts w:hint="eastAsia" w:ascii="宋体" w:hAnsi="宋体" w:eastAsia="宋体" w:cs="宋体"/>
          <w:snapToGrid w:val="0"/>
          <w:sz w:val="21"/>
          <w:szCs w:val="21"/>
        </w:rPr>
        <w:t>日内提供给所有承包人。由此而产生的对招标文件内容的修改，以修改通知的方式发出。</w:t>
      </w:r>
    </w:p>
    <w:p w14:paraId="53944C7D">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210" w:firstLineChars="1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（六）招标文件的修改</w:t>
      </w:r>
    </w:p>
    <w:p w14:paraId="4A7B4EDE">
      <w:pPr>
        <w:keepNext w:val="0"/>
        <w:keepLines w:val="0"/>
        <w:pageBreakBefore w:val="0"/>
        <w:tabs>
          <w:tab w:val="left" w:pos="709"/>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1、在投标截止日期</w:t>
      </w:r>
      <w:r>
        <w:rPr>
          <w:rFonts w:hint="eastAsia" w:ascii="宋体" w:hAnsi="宋体" w:eastAsia="宋体" w:cs="宋体"/>
          <w:b/>
          <w:snapToGrid w:val="0"/>
          <w:sz w:val="21"/>
          <w:szCs w:val="21"/>
          <w:u w:val="single"/>
        </w:rPr>
        <w:t>1</w:t>
      </w:r>
      <w:r>
        <w:rPr>
          <w:rFonts w:hint="eastAsia" w:ascii="宋体" w:hAnsi="宋体" w:eastAsia="宋体" w:cs="宋体"/>
          <w:snapToGrid w:val="0"/>
          <w:sz w:val="21"/>
          <w:szCs w:val="21"/>
        </w:rPr>
        <w:t>天前，招标人都可能会以书面通知的方式修改招标文件。修改通知作为招标文件的组成部分，对承包人起同等约束作用。</w:t>
      </w:r>
    </w:p>
    <w:p w14:paraId="2B06957D">
      <w:pPr>
        <w:keepNext w:val="0"/>
        <w:keepLines w:val="0"/>
        <w:pageBreakBefore w:val="0"/>
        <w:tabs>
          <w:tab w:val="left" w:pos="0"/>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2、为使承包人在编制投标文件时把修改通知内容考虑进去，招标人可以酌情延长递交投标文件的截止日期。具体时间将在修改通知中写明，修改通知将送达每一承包人。</w:t>
      </w:r>
    </w:p>
    <w:p w14:paraId="244A1DB1">
      <w:pPr>
        <w:keepNext w:val="0"/>
        <w:keepLines w:val="0"/>
        <w:pageBreakBefore w:val="0"/>
        <w:tabs>
          <w:tab w:val="left" w:pos="0"/>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3、当招标文件、修改通知内容相互矛盾时，以后发出的通知为准。</w:t>
      </w:r>
    </w:p>
    <w:p w14:paraId="5935FC80">
      <w:pPr>
        <w:keepNext w:val="0"/>
        <w:keepLines w:val="0"/>
        <w:pageBreakBefore w:val="0"/>
        <w:tabs>
          <w:tab w:val="left" w:pos="0"/>
          <w:tab w:val="left" w:pos="1134"/>
        </w:tabs>
        <w:kinsoku/>
        <w:wordWrap/>
        <w:overflowPunct/>
        <w:topLinePunct w:val="0"/>
        <w:autoSpaceDE/>
        <w:autoSpaceDN/>
        <w:bidi w:val="0"/>
        <w:adjustRightInd w:val="0"/>
        <w:snapToGrid w:val="0"/>
        <w:spacing w:line="400" w:lineRule="exact"/>
        <w:ind w:left="0" w:leftChars="0"/>
        <w:jc w:val="center"/>
        <w:textAlignment w:val="auto"/>
        <w:rPr>
          <w:rFonts w:hint="eastAsia" w:ascii="宋体" w:hAnsi="宋体" w:eastAsia="宋体" w:cs="宋体"/>
          <w:snapToGrid w:val="0"/>
          <w:sz w:val="21"/>
          <w:szCs w:val="21"/>
        </w:rPr>
      </w:pPr>
      <w:r>
        <w:rPr>
          <w:rFonts w:hint="eastAsia" w:ascii="宋体" w:hAnsi="宋体" w:eastAsia="宋体" w:cs="宋体"/>
          <w:b/>
          <w:snapToGrid w:val="0"/>
          <w:sz w:val="21"/>
          <w:szCs w:val="21"/>
        </w:rPr>
        <w:t>三、投标报价</w:t>
      </w:r>
    </w:p>
    <w:p w14:paraId="19BE85B2">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210" w:firstLineChars="1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（七）投标报价</w:t>
      </w:r>
    </w:p>
    <w:p w14:paraId="28BEFFDB">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1、本工程采用</w:t>
      </w:r>
      <w:r>
        <w:rPr>
          <w:rFonts w:hint="eastAsia" w:ascii="宋体" w:hAnsi="宋体" w:eastAsia="宋体" w:cs="宋体"/>
          <w:b/>
          <w:bCs/>
          <w:snapToGrid w:val="0"/>
          <w:sz w:val="21"/>
          <w:szCs w:val="21"/>
          <w:highlight w:val="none"/>
          <w:u w:val="single"/>
          <w:lang w:val="en-US" w:eastAsia="zh-CN"/>
        </w:rPr>
        <w:t>固定</w:t>
      </w:r>
      <w:r>
        <w:rPr>
          <w:rFonts w:hint="eastAsia" w:ascii="宋体" w:hAnsi="宋体" w:eastAsia="宋体" w:cs="宋体"/>
          <w:b/>
          <w:bCs/>
          <w:snapToGrid w:val="0"/>
          <w:sz w:val="21"/>
          <w:szCs w:val="21"/>
          <w:highlight w:val="none"/>
          <w:u w:val="single"/>
        </w:rPr>
        <w:t>单价</w:t>
      </w:r>
      <w:r>
        <w:rPr>
          <w:rFonts w:hint="eastAsia" w:ascii="宋体" w:hAnsi="宋体" w:eastAsia="宋体" w:cs="宋体"/>
          <w:snapToGrid w:val="0"/>
          <w:sz w:val="21"/>
          <w:szCs w:val="21"/>
        </w:rPr>
        <w:t xml:space="preserve">计价。 </w:t>
      </w:r>
    </w:p>
    <w:p w14:paraId="7AB4F2DB">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2、本工程工程量清单综合单价的编制应按《建设工程工程量清单计价规范》 (GB50500-2013)要求执行。</w:t>
      </w:r>
    </w:p>
    <w:p w14:paraId="0A1E63EE">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3、投标报价的编制要求：</w:t>
      </w:r>
    </w:p>
    <w:p w14:paraId="5554DCFF">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①投标人应按照招标文件规定的招标范围内工程量清单所列项目的全部费用总和，包括分部分项工程费、项目措施费、其他项目费和规费、税金。</w:t>
      </w:r>
    </w:p>
    <w:p w14:paraId="54BBF3BC">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14:paraId="6F142E0A">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③工程量清单中的工程数量是按《建设工程工程量清单计价规范》(GB50500-2013)的工程量规则进行计算的，施工中所用的材料、成品、半成品在制作、运输、安装中等发生的一切损耗应包括在报价内。</w:t>
      </w:r>
    </w:p>
    <w:p w14:paraId="354DD081">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highlight w:val="none"/>
        </w:rPr>
      </w:pPr>
      <w:r>
        <w:rPr>
          <w:rFonts w:hint="eastAsia" w:ascii="宋体" w:hAnsi="宋体" w:eastAsia="宋体" w:cs="宋体"/>
          <w:snapToGrid w:val="0"/>
          <w:sz w:val="21"/>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eastAsia="宋体" w:cs="宋体"/>
          <w:snapToGrid w:val="0"/>
          <w:sz w:val="21"/>
          <w:szCs w:val="21"/>
          <w:highlight w:val="none"/>
        </w:rPr>
        <w:t>费用；现场安全文明施工费最终按核定的费率，结算时调整。</w:t>
      </w:r>
    </w:p>
    <w:p w14:paraId="01E44BDD">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eastAsia="宋体" w:cs="宋体"/>
          <w:snapToGrid w:val="0"/>
          <w:sz w:val="21"/>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14:paraId="220ED9ED">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⑥投标人的综合单价中应考虑招标文件中要求投标人承担的风险内容及其范围（幅度）产生的风险费用。在施工过程中，当出现的风险内容及其范围（幅度）在合同约定的范围时，工程价款不做调整。</w:t>
      </w:r>
    </w:p>
    <w:p w14:paraId="42352562">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⑦其他项目清单中的暂列金额等项目费均为估算、预测算，虽在投标时计入投标人的报价中，但不应视为投标人所有。</w:t>
      </w:r>
    </w:p>
    <w:p w14:paraId="3AB6DD89">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14:paraId="5FDF0528">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4、工程中的材料：</w:t>
      </w:r>
    </w:p>
    <w:p w14:paraId="31F1D92B">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①甲供材、暂定价的材料按（如有）给定的价格进行报价；</w:t>
      </w:r>
    </w:p>
    <w:p w14:paraId="4B555BB8">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②有指定品牌的，按其品牌进行报价。</w:t>
      </w:r>
    </w:p>
    <w:p w14:paraId="40B7DCAB">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③其它材料由投标人自行报价。</w:t>
      </w:r>
    </w:p>
    <w:p w14:paraId="0F1E44D4">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5、招标控制价的说明：</w:t>
      </w:r>
    </w:p>
    <w:p w14:paraId="4E8C7255">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1）招标控制价是指招标人根据建设行政主管部门颁发的有关计价依据和办法，按照施工设计图纸计算的，对建设工程招标项目限定的最高工程造价。</w:t>
      </w:r>
    </w:p>
    <w:p w14:paraId="196AD9DC">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2）高于招标控制价的投标报价应当予以拒绝。</w:t>
      </w:r>
    </w:p>
    <w:p w14:paraId="4244915A">
      <w:pPr>
        <w:keepNext w:val="0"/>
        <w:keepLines w:val="0"/>
        <w:pageBreakBefore w:val="0"/>
        <w:tabs>
          <w:tab w:val="left" w:pos="0"/>
          <w:tab w:val="left" w:pos="1134"/>
        </w:tabs>
        <w:kinsoku/>
        <w:wordWrap/>
        <w:overflowPunct/>
        <w:topLinePunct w:val="0"/>
        <w:autoSpaceDE/>
        <w:autoSpaceDN/>
        <w:bidi w:val="0"/>
        <w:adjustRightInd w:val="0"/>
        <w:snapToGrid w:val="0"/>
        <w:spacing w:line="400" w:lineRule="exact"/>
        <w:ind w:left="0" w:leftChars="0"/>
        <w:jc w:val="center"/>
        <w:textAlignment w:val="auto"/>
        <w:rPr>
          <w:rFonts w:hint="eastAsia" w:ascii="宋体" w:hAnsi="宋体" w:eastAsia="宋体" w:cs="宋体"/>
          <w:b/>
          <w:snapToGrid w:val="0"/>
          <w:sz w:val="21"/>
          <w:szCs w:val="21"/>
        </w:rPr>
      </w:pPr>
      <w:r>
        <w:rPr>
          <w:rFonts w:hint="eastAsia" w:ascii="宋体" w:hAnsi="宋体" w:eastAsia="宋体" w:cs="宋体"/>
          <w:b/>
          <w:snapToGrid w:val="0"/>
          <w:sz w:val="21"/>
          <w:szCs w:val="21"/>
        </w:rPr>
        <w:t xml:space="preserve">四 </w:t>
      </w:r>
      <w:r>
        <w:rPr>
          <w:rFonts w:hint="eastAsia" w:ascii="宋体" w:hAnsi="宋体" w:eastAsia="宋体" w:cs="宋体"/>
          <w:snapToGrid w:val="0"/>
          <w:sz w:val="21"/>
          <w:szCs w:val="21"/>
        </w:rPr>
        <w:t xml:space="preserve"> </w:t>
      </w:r>
      <w:r>
        <w:rPr>
          <w:rFonts w:hint="eastAsia" w:ascii="宋体" w:hAnsi="宋体" w:eastAsia="宋体" w:cs="宋体"/>
          <w:b/>
          <w:snapToGrid w:val="0"/>
          <w:sz w:val="21"/>
          <w:szCs w:val="21"/>
        </w:rPr>
        <w:t>投标文件的编制</w:t>
      </w:r>
    </w:p>
    <w:p w14:paraId="1C9DC57F">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（八）投标文件的组成</w:t>
      </w:r>
    </w:p>
    <w:p w14:paraId="497BF2E5">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1、承包人应当按照招标文件、工程量清单、招标答疑纪要(标前会议纪要)及招标文件修改通知的要求编制投标文件，投标文件应对招标文件提出的实质性要求和条件做出响应。</w:t>
      </w:r>
    </w:p>
    <w:p w14:paraId="1585DF0D">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2、承包人的投标文件应包括下列内容：</w:t>
      </w:r>
    </w:p>
    <w:p w14:paraId="56C94761">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1）投标函</w:t>
      </w:r>
    </w:p>
    <w:p w14:paraId="2C46A589">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2）法定代表人资格证明书</w:t>
      </w:r>
    </w:p>
    <w:p w14:paraId="19D9FBC4">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3）法定代表人委托代理人的委托书</w:t>
      </w:r>
    </w:p>
    <w:p w14:paraId="27716626">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4）投标报价汇总表及其它报价表</w:t>
      </w:r>
    </w:p>
    <w:p w14:paraId="3B469849">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（九）投标保证金：详见投标须知前附表</w:t>
      </w:r>
    </w:p>
    <w:p w14:paraId="64510B73">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 xml:space="preserve"> (十) 勘察现场</w:t>
      </w:r>
    </w:p>
    <w:p w14:paraId="0C7ED1A0">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1、承包人可以对工程施工现场和周围环境进行勘察，以获取编制投标文件和签署合同所需的所有资料。勘察现场所发生的费用由承包人承担。</w:t>
      </w:r>
    </w:p>
    <w:p w14:paraId="26441866">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2、招标人向承包人提供的有关施工现场的资料和数据是招标人现有的能使承包人利用的资料。招标人对承包人由此而做出的推论、理解和结论概不负责。</w:t>
      </w:r>
    </w:p>
    <w:p w14:paraId="24B87B2F">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（十一）投标文件的份数和签署</w:t>
      </w:r>
    </w:p>
    <w:p w14:paraId="33177342">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1、承包人必须分标段各编制一份投标文件。投标文件应使用不能擦去的墨水书写或打印，由承包人加盖公章和法定代表人或法定代表人委托的代理人印鉴或签字。</w:t>
      </w:r>
    </w:p>
    <w:p w14:paraId="44DED857">
      <w:pPr>
        <w:keepNext w:val="0"/>
        <w:keepLines w:val="0"/>
        <w:pageBreakBefore w:val="0"/>
        <w:tabs>
          <w:tab w:val="left" w:pos="0"/>
          <w:tab w:val="left" w:pos="851"/>
        </w:tabs>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2、全套投标文件应无涂改和行间插字，除非这些删改是根据招标人的指示进行的，或者是承包人造成的必须修改的错误。修改处应由投标文件签署人加盖印鉴。</w:t>
      </w:r>
    </w:p>
    <w:p w14:paraId="53301721">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jc w:val="center"/>
        <w:textAlignment w:val="auto"/>
        <w:rPr>
          <w:rFonts w:hint="eastAsia" w:ascii="宋体" w:hAnsi="宋体" w:eastAsia="宋体" w:cs="宋体"/>
          <w:b/>
          <w:snapToGrid w:val="0"/>
          <w:sz w:val="21"/>
          <w:szCs w:val="21"/>
        </w:rPr>
      </w:pPr>
      <w:r>
        <w:rPr>
          <w:rFonts w:hint="eastAsia" w:ascii="宋体" w:hAnsi="宋体" w:eastAsia="宋体" w:cs="宋体"/>
          <w:b/>
          <w:snapToGrid w:val="0"/>
          <w:sz w:val="21"/>
          <w:szCs w:val="21"/>
        </w:rPr>
        <w:t>五、投标文件的递交</w:t>
      </w:r>
    </w:p>
    <w:p w14:paraId="60FFA743">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（十二）投标文件的密封与标志</w:t>
      </w:r>
    </w:p>
    <w:p w14:paraId="12283298">
      <w:pPr>
        <w:keepNext w:val="0"/>
        <w:keepLines w:val="0"/>
        <w:pageBreakBefore w:val="0"/>
        <w:tabs>
          <w:tab w:val="left" w:pos="0"/>
          <w:tab w:val="left" w:pos="851"/>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1、密封：承包人必须按前附表要求的份数将投标文件密封提交，并在封袋骑缝密封处加盖承包人法人印章和法定代表人或其委托代理人的印章。</w:t>
      </w:r>
    </w:p>
    <w:p w14:paraId="64C82C09">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2、标志：承包人应在投标文件封袋上正确标明“正本”或“副本”字样，所有封袋上都必须写明招标人名称和工程名称以及承包人的名称。</w:t>
      </w:r>
    </w:p>
    <w:p w14:paraId="2F7F92B0">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bCs/>
          <w:snapToGrid w:val="0"/>
          <w:sz w:val="21"/>
          <w:szCs w:val="21"/>
        </w:rPr>
        <w:t>3、投标单位在提交投标文件时必须同时提交反映“单位工程费汇总表”、“分部分项工程量清单计价定额”、“措施项目清单计价定额”、“其他项目清单计价定</w:t>
      </w:r>
      <w:r>
        <w:rPr>
          <w:rFonts w:hint="eastAsia" w:ascii="宋体" w:hAnsi="宋体" w:eastAsia="宋体" w:cs="宋体"/>
          <w:bCs/>
          <w:snapToGrid w:val="0"/>
          <w:sz w:val="21"/>
          <w:szCs w:val="21"/>
          <w:highlight w:val="none"/>
        </w:rPr>
        <w:t>额</w:t>
      </w:r>
      <w:r>
        <w:rPr>
          <w:rFonts w:hint="eastAsia" w:ascii="宋体" w:hAnsi="宋体" w:eastAsia="宋体" w:cs="宋体"/>
          <w:snapToGrid w:val="0"/>
          <w:sz w:val="21"/>
          <w:szCs w:val="21"/>
        </w:rPr>
        <w:t>”等工程量清单要求的所有表式的投标文件一起装袋、密封并标志后在开标前提交。</w:t>
      </w:r>
    </w:p>
    <w:p w14:paraId="27769BDF">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
          <w:bCs/>
          <w:snapToGrid w:val="0"/>
          <w:sz w:val="21"/>
          <w:szCs w:val="21"/>
        </w:rPr>
      </w:pPr>
      <w:r>
        <w:rPr>
          <w:rFonts w:hint="eastAsia" w:ascii="宋体" w:hAnsi="宋体" w:eastAsia="宋体" w:cs="宋体"/>
          <w:bCs/>
          <w:snapToGrid w:val="0"/>
          <w:sz w:val="21"/>
          <w:szCs w:val="21"/>
        </w:rPr>
        <w:t>未按上述规定编制、密封、标志所递交的投标文件招标人有权拒绝。</w:t>
      </w:r>
    </w:p>
    <w:p w14:paraId="7D2E13FF">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（十三）投标截止期</w:t>
      </w:r>
    </w:p>
    <w:p w14:paraId="1C60084A">
      <w:pPr>
        <w:keepNext w:val="0"/>
        <w:keepLines w:val="0"/>
        <w:pageBreakBefore w:val="0"/>
        <w:tabs>
          <w:tab w:val="left" w:pos="0"/>
          <w:tab w:val="left" w:pos="1134"/>
        </w:tabs>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1、承包人应在投标须知中规定的时间之前将投标文件递交到指定地点。招标人在接到投标文件时将在投标文件上注明收到的日期和时间，并当面开具接受清单。</w:t>
      </w:r>
    </w:p>
    <w:p w14:paraId="6D7D70B0">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2、招标人可以按本文件第（六）条规定以修改通知的方式，酌情延长递交投标文件的截止日期。在上</w:t>
      </w:r>
    </w:p>
    <w:p w14:paraId="2FDEBE02">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述情况下，招标人与承包人以前的投标截止期方面的全部权力、责任和义务，将适用于延长后新的投标截止期。</w:t>
      </w:r>
    </w:p>
    <w:p w14:paraId="75177BAA">
      <w:pPr>
        <w:keepNext w:val="0"/>
        <w:keepLines w:val="0"/>
        <w:pageBreakBefore w:val="0"/>
        <w:tabs>
          <w:tab w:val="left" w:pos="0"/>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3、超过投标截止期送达的投标文件将被拒绝并原封退给承包人。</w:t>
      </w:r>
    </w:p>
    <w:p w14:paraId="3B5E0F24">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4、提交投标文件的承包人少于三个的，招标人将依法重新招标。</w:t>
      </w:r>
    </w:p>
    <w:p w14:paraId="52E22D2F">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（十四）投标文件的修改与撤回</w:t>
      </w:r>
    </w:p>
    <w:p w14:paraId="66CEDFF3">
      <w:pPr>
        <w:keepNext w:val="0"/>
        <w:keepLines w:val="0"/>
        <w:pageBreakBefore w:val="0"/>
        <w:tabs>
          <w:tab w:val="left" w:pos="0"/>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1、承包人可以在递交投标文件以后，在规定的投标截止期之前，以书面形式向招标人递交补充、修改、替代或撤回其投标文件的通知。在投标截止期以后，不得更改投标文件。</w:t>
      </w:r>
    </w:p>
    <w:p w14:paraId="1F6CF7B4">
      <w:pPr>
        <w:keepNext w:val="0"/>
        <w:keepLines w:val="0"/>
        <w:pageBreakBefore w:val="0"/>
        <w:tabs>
          <w:tab w:val="left" w:pos="0"/>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2、承包人的补充、修改、替代或撤回通知，应按按本文件第（十二）条规定的要求编制、密封、标志和递交，密封袋上应标明“补充”、“修改”、“替代”或“撤回”字样。</w:t>
      </w:r>
    </w:p>
    <w:p w14:paraId="5038F626">
      <w:pPr>
        <w:keepNext w:val="0"/>
        <w:keepLines w:val="0"/>
        <w:pageBreakBefore w:val="0"/>
        <w:tabs>
          <w:tab w:val="left" w:pos="0"/>
          <w:tab w:val="left" w:pos="709"/>
          <w:tab w:val="left" w:pos="993"/>
        </w:tabs>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3、投标截止以后,在投标有效期内，承包人不得撤回投标文件，否则其投标保证金将被没收。</w:t>
      </w:r>
    </w:p>
    <w:p w14:paraId="71F42AC5">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jc w:val="center"/>
        <w:textAlignment w:val="auto"/>
        <w:rPr>
          <w:rFonts w:hint="eastAsia" w:ascii="宋体" w:hAnsi="宋体" w:eastAsia="宋体" w:cs="宋体"/>
          <w:b/>
          <w:snapToGrid w:val="0"/>
          <w:sz w:val="21"/>
          <w:szCs w:val="21"/>
        </w:rPr>
      </w:pPr>
      <w:r>
        <w:rPr>
          <w:rFonts w:hint="eastAsia" w:ascii="宋体" w:hAnsi="宋体" w:eastAsia="宋体" w:cs="宋体"/>
          <w:b/>
          <w:snapToGrid w:val="0"/>
          <w:sz w:val="21"/>
          <w:szCs w:val="21"/>
        </w:rPr>
        <w:t>六、开    标</w:t>
      </w:r>
    </w:p>
    <w:p w14:paraId="6DF88399">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（十五）开标</w:t>
      </w:r>
    </w:p>
    <w:p w14:paraId="5B283779">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1、开标由招标人或其委托的招标代理机构人员主持，邀请所有承包人参加。</w:t>
      </w:r>
    </w:p>
    <w:p w14:paraId="3A81B103">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14:paraId="58D4D2AE">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3、招标人在招标文件要求提交投标文件的截止时间前收到的所有投标文件，开标时都将当众予以拆封、宣读、记录。</w:t>
      </w:r>
    </w:p>
    <w:p w14:paraId="7422054D">
      <w:pPr>
        <w:keepNext w:val="0"/>
        <w:keepLines w:val="0"/>
        <w:pageBreakBefore w:val="0"/>
        <w:tabs>
          <w:tab w:val="left" w:pos="0"/>
          <w:tab w:val="left" w:pos="1134"/>
        </w:tabs>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4、唱标顺序按各承包人送达投标文件时间先后的逆顺序进行。</w:t>
      </w:r>
    </w:p>
    <w:p w14:paraId="76D88022">
      <w:pPr>
        <w:keepNext w:val="0"/>
        <w:keepLines w:val="0"/>
        <w:pageBreakBefore w:val="0"/>
        <w:kinsoku/>
        <w:wordWrap/>
        <w:overflowPunct/>
        <w:topLinePunct w:val="0"/>
        <w:autoSpaceDE/>
        <w:autoSpaceDN/>
        <w:bidi w:val="0"/>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5、在开标时，投标文件出现下列情况之一的，招标人不予受理：</w:t>
      </w:r>
    </w:p>
    <w:p w14:paraId="07722524">
      <w:pPr>
        <w:keepNext w:val="0"/>
        <w:keepLines w:val="0"/>
        <w:pageBreakBefore w:val="0"/>
        <w:kinsoku/>
        <w:wordWrap/>
        <w:overflowPunct/>
        <w:topLinePunct w:val="0"/>
        <w:autoSpaceDE/>
        <w:autoSpaceDN/>
        <w:bidi w:val="0"/>
        <w:spacing w:line="400" w:lineRule="exact"/>
        <w:ind w:left="0" w:leftChars="0"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(1)逾期送达的或未送达指定地点的；</w:t>
      </w:r>
    </w:p>
    <w:p w14:paraId="68B90A4D">
      <w:pPr>
        <w:keepNext w:val="0"/>
        <w:keepLines w:val="0"/>
        <w:pageBreakBefore w:val="0"/>
        <w:kinsoku/>
        <w:wordWrap/>
        <w:overflowPunct/>
        <w:topLinePunct w:val="0"/>
        <w:autoSpaceDE/>
        <w:autoSpaceDN/>
        <w:bidi w:val="0"/>
        <w:spacing w:line="400" w:lineRule="exact"/>
        <w:ind w:left="0" w:leftChars="0"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(2)未按照招标文件的要求予以密封、标志的；</w:t>
      </w:r>
    </w:p>
    <w:p w14:paraId="14DD3A69">
      <w:pPr>
        <w:keepNext w:val="0"/>
        <w:keepLines w:val="0"/>
        <w:pageBreakBefore w:val="0"/>
        <w:kinsoku/>
        <w:wordWrap/>
        <w:overflowPunct/>
        <w:topLinePunct w:val="0"/>
        <w:autoSpaceDE/>
        <w:autoSpaceDN/>
        <w:bidi w:val="0"/>
        <w:spacing w:line="400" w:lineRule="exact"/>
        <w:ind w:left="0" w:leftChars="0"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(3)未提供法定代表人证明和有效身份证明的；</w:t>
      </w:r>
    </w:p>
    <w:p w14:paraId="5A14915D">
      <w:pPr>
        <w:keepNext w:val="0"/>
        <w:keepLines w:val="0"/>
        <w:pageBreakBefore w:val="0"/>
        <w:tabs>
          <w:tab w:val="left" w:pos="993"/>
          <w:tab w:val="left" w:pos="1134"/>
        </w:tabs>
        <w:kinsoku/>
        <w:wordWrap/>
        <w:overflowPunct/>
        <w:topLinePunct w:val="0"/>
        <w:autoSpaceDE/>
        <w:autoSpaceDN/>
        <w:bidi w:val="0"/>
        <w:adjustRightInd w:val="0"/>
        <w:snapToGrid w:val="0"/>
        <w:spacing w:line="400" w:lineRule="exact"/>
        <w:ind w:left="0" w:leftChars="0" w:firstLine="630" w:firstLineChars="300"/>
        <w:textAlignment w:val="auto"/>
        <w:rPr>
          <w:rFonts w:hint="eastAsia" w:ascii="宋体" w:hAnsi="宋体" w:eastAsia="宋体" w:cs="宋体"/>
          <w:b/>
          <w:snapToGrid w:val="0"/>
          <w:sz w:val="21"/>
          <w:szCs w:val="21"/>
        </w:rPr>
      </w:pPr>
      <w:r>
        <w:rPr>
          <w:rFonts w:hint="eastAsia" w:ascii="宋体" w:hAnsi="宋体" w:eastAsia="宋体" w:cs="宋体"/>
          <w:sz w:val="21"/>
          <w:szCs w:val="21"/>
        </w:rPr>
        <w:t>(4)未提供授权委托书和所委托人身份证明的；</w:t>
      </w:r>
    </w:p>
    <w:p w14:paraId="3B8FD5CF">
      <w:pPr>
        <w:keepNext w:val="0"/>
        <w:keepLines w:val="0"/>
        <w:pageBreakBefore w:val="0"/>
        <w:kinsoku/>
        <w:wordWrap/>
        <w:overflowPunct/>
        <w:topLinePunct w:val="0"/>
        <w:autoSpaceDE/>
        <w:autoSpaceDN/>
        <w:bidi w:val="0"/>
        <w:spacing w:line="400" w:lineRule="exact"/>
        <w:ind w:left="0" w:leftChars="0"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(5)未参加开标会议的</w:t>
      </w:r>
      <w:r>
        <w:rPr>
          <w:rFonts w:hint="eastAsia" w:ascii="宋体" w:hAnsi="宋体" w:eastAsia="宋体" w:cs="宋体"/>
          <w:b/>
          <w:bCs/>
          <w:sz w:val="21"/>
          <w:szCs w:val="21"/>
        </w:rPr>
        <w:t>;</w:t>
      </w:r>
    </w:p>
    <w:p w14:paraId="62C551C1">
      <w:pPr>
        <w:keepNext w:val="0"/>
        <w:keepLines w:val="0"/>
        <w:pageBreakBefore w:val="0"/>
        <w:tabs>
          <w:tab w:val="left" w:pos="340"/>
        </w:tabs>
        <w:kinsoku/>
        <w:wordWrap/>
        <w:overflowPunct/>
        <w:topLinePunct w:val="0"/>
        <w:autoSpaceDE/>
        <w:autoSpaceDN/>
        <w:bidi w:val="0"/>
        <w:adjustRightInd w:val="0"/>
        <w:snapToGrid w:val="0"/>
        <w:spacing w:line="400" w:lineRule="exact"/>
        <w:ind w:left="0" w:leftChars="0" w:firstLine="630" w:firstLineChars="300"/>
        <w:textAlignment w:val="auto"/>
        <w:rPr>
          <w:rFonts w:hint="eastAsia" w:ascii="宋体" w:hAnsi="宋体" w:eastAsia="宋体" w:cs="宋体"/>
          <w:bCs/>
          <w:snapToGrid w:val="0"/>
          <w:sz w:val="21"/>
          <w:szCs w:val="21"/>
        </w:rPr>
      </w:pPr>
      <w:r>
        <w:rPr>
          <w:rFonts w:hint="eastAsia" w:ascii="宋体" w:hAnsi="宋体" w:eastAsia="宋体" w:cs="宋体"/>
          <w:bCs/>
          <w:snapToGrid w:val="0"/>
          <w:sz w:val="21"/>
          <w:szCs w:val="21"/>
        </w:rPr>
        <w:t>(6)提供材料有瑕疵的；</w:t>
      </w:r>
    </w:p>
    <w:p w14:paraId="17A45246">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2" w:firstLineChars="200"/>
        <w:jc w:val="center"/>
        <w:textAlignment w:val="auto"/>
        <w:rPr>
          <w:rFonts w:hint="eastAsia" w:ascii="宋体" w:hAnsi="宋体" w:eastAsia="宋体" w:cs="宋体"/>
          <w:b/>
          <w:snapToGrid w:val="0"/>
          <w:sz w:val="21"/>
          <w:szCs w:val="21"/>
        </w:rPr>
      </w:pPr>
      <w:r>
        <w:rPr>
          <w:rFonts w:hint="eastAsia" w:ascii="宋体" w:hAnsi="宋体" w:eastAsia="宋体" w:cs="宋体"/>
          <w:b/>
          <w:snapToGrid w:val="0"/>
          <w:sz w:val="21"/>
          <w:szCs w:val="21"/>
        </w:rPr>
        <w:t>七、评   标</w:t>
      </w:r>
    </w:p>
    <w:p w14:paraId="7B9F29E8">
      <w:pPr>
        <w:pStyle w:val="7"/>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
          <w:snapToGrid w:val="0"/>
          <w:kern w:val="0"/>
          <w:sz w:val="21"/>
          <w:szCs w:val="21"/>
        </w:rPr>
      </w:pPr>
      <w:r>
        <w:rPr>
          <w:rFonts w:hint="eastAsia" w:ascii="宋体" w:hAnsi="宋体" w:eastAsia="宋体" w:cs="宋体"/>
          <w:snapToGrid w:val="0"/>
          <w:kern w:val="0"/>
          <w:sz w:val="21"/>
          <w:szCs w:val="21"/>
        </w:rPr>
        <w:t>（十六）评标</w:t>
      </w:r>
    </w:p>
    <w:p w14:paraId="14A84120">
      <w:pPr>
        <w:keepNext w:val="0"/>
        <w:keepLines w:val="0"/>
        <w:pageBreakBefore w:val="0"/>
        <w:kinsoku/>
        <w:wordWrap/>
        <w:overflowPunct/>
        <w:topLinePunct w:val="0"/>
        <w:autoSpaceDE/>
        <w:autoSpaceDN/>
        <w:bidi w:val="0"/>
        <w:spacing w:line="400" w:lineRule="exact"/>
        <w:ind w:left="0" w:leftChars="0"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1、评标</w:t>
      </w:r>
    </w:p>
    <w:p w14:paraId="7FE52815">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2、清标</w:t>
      </w:r>
    </w:p>
    <w:p w14:paraId="5B4AF5B6">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2.1组建清标工作组</w:t>
      </w:r>
    </w:p>
    <w:p w14:paraId="589EBB0B">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napToGrid w:val="0"/>
          <w:sz w:val="21"/>
          <w:szCs w:val="21"/>
        </w:rPr>
        <w:t>2.2</w:t>
      </w:r>
      <w:r>
        <w:rPr>
          <w:rFonts w:hint="eastAsia" w:ascii="宋体" w:hAnsi="宋体" w:eastAsia="宋体" w:cs="宋体"/>
          <w:sz w:val="21"/>
          <w:szCs w:val="21"/>
        </w:rPr>
        <w:t>清标工作的主要内容包括：</w:t>
      </w:r>
      <w:r>
        <w:rPr>
          <w:rFonts w:hint="eastAsia" w:ascii="宋体" w:hAnsi="宋体" w:eastAsia="宋体" w:cs="宋体"/>
          <w:sz w:val="21"/>
          <w:szCs w:val="21"/>
          <w:lang w:val="en-US" w:eastAsia="zh-CN"/>
        </w:rPr>
        <w:t xml:space="preserve">  </w:t>
      </w:r>
    </w:p>
    <w:p w14:paraId="644C80F5">
      <w:pPr>
        <w:keepNext w:val="0"/>
        <w:keepLines w:val="0"/>
        <w:pageBreakBefore w:val="0"/>
        <w:kinsoku/>
        <w:wordWrap/>
        <w:overflowPunct/>
        <w:topLinePunct w:val="0"/>
        <w:autoSpaceDE/>
        <w:autoSpaceDN/>
        <w:bidi w:val="0"/>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2.2.1按照投标总价的高低，对投标文件进行排序；</w:t>
      </w:r>
    </w:p>
    <w:p w14:paraId="611C12BA">
      <w:pPr>
        <w:keepNext w:val="0"/>
        <w:keepLines w:val="0"/>
        <w:pageBreakBefore w:val="0"/>
        <w:kinsoku/>
        <w:wordWrap/>
        <w:overflowPunct/>
        <w:topLinePunct w:val="0"/>
        <w:autoSpaceDE/>
        <w:autoSpaceDN/>
        <w:bidi w:val="0"/>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2.2.2根据招标文件的规定，对所有投标文件进行全面的审查，列出投标文件在符合性、响应性和技术方法、技术措施、技术标准等方面存在的所有偏差；</w:t>
      </w:r>
    </w:p>
    <w:p w14:paraId="201A4EC6">
      <w:pPr>
        <w:keepNext w:val="0"/>
        <w:keepLines w:val="0"/>
        <w:pageBreakBefore w:val="0"/>
        <w:kinsoku/>
        <w:wordWrap/>
        <w:overflowPunct/>
        <w:topLinePunct w:val="0"/>
        <w:autoSpaceDE/>
        <w:autoSpaceDN/>
        <w:bidi w:val="0"/>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2.2.3按照招标文件的规定的方法和标准，对投标报价进行换算； </w:t>
      </w:r>
    </w:p>
    <w:p w14:paraId="4FB537BD">
      <w:pPr>
        <w:keepNext w:val="0"/>
        <w:keepLines w:val="0"/>
        <w:pageBreakBefore w:val="0"/>
        <w:kinsoku/>
        <w:wordWrap/>
        <w:overflowPunct/>
        <w:topLinePunct w:val="0"/>
        <w:autoSpaceDE/>
        <w:autoSpaceDN/>
        <w:bidi w:val="0"/>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2.2.4对投标报价进行校核，列出投标文件存在的算术计算错误；</w:t>
      </w:r>
    </w:p>
    <w:p w14:paraId="107D1AD3">
      <w:pPr>
        <w:keepNext w:val="0"/>
        <w:keepLines w:val="0"/>
        <w:pageBreakBefore w:val="0"/>
        <w:kinsoku/>
        <w:wordWrap/>
        <w:overflowPunct/>
        <w:topLinePunct w:val="0"/>
        <w:autoSpaceDE/>
        <w:autoSpaceDN/>
        <w:bidi w:val="0"/>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2.2.5根据本招标文件规定的标准，审查并列出过高和过低的投标价格；</w:t>
      </w:r>
    </w:p>
    <w:p w14:paraId="2777804D">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2.2.6形成书面的清标情况报告。</w:t>
      </w:r>
    </w:p>
    <w:p w14:paraId="77BC996D">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宋体" w:hAnsi="宋体" w:eastAsia="宋体" w:cs="宋体"/>
          <w:b/>
          <w:snapToGrid w:val="0"/>
          <w:sz w:val="21"/>
          <w:szCs w:val="21"/>
        </w:rPr>
      </w:pPr>
      <w:r>
        <w:rPr>
          <w:rFonts w:hint="eastAsia" w:ascii="宋体" w:hAnsi="宋体" w:eastAsia="宋体" w:cs="宋体"/>
          <w:b/>
          <w:snapToGrid w:val="0"/>
          <w:sz w:val="21"/>
          <w:szCs w:val="21"/>
        </w:rPr>
        <w:t>3、评标活动</w:t>
      </w:r>
    </w:p>
    <w:p w14:paraId="1E41C262">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1）评标活动在有关行政监督管理部门的监督下，由评标委员会组织进行。</w:t>
      </w:r>
    </w:p>
    <w:p w14:paraId="3C56AAF5">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2）评标委员会由招标人负责组建。</w:t>
      </w:r>
    </w:p>
    <w:p w14:paraId="61C4F955">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宋体" w:hAnsi="宋体" w:eastAsia="宋体" w:cs="宋体"/>
          <w:b/>
          <w:bCs/>
          <w:snapToGrid w:val="0"/>
          <w:sz w:val="21"/>
          <w:szCs w:val="21"/>
          <w:highlight w:val="none"/>
        </w:rPr>
      </w:pPr>
      <w:r>
        <w:rPr>
          <w:rFonts w:hint="eastAsia" w:ascii="宋体" w:hAnsi="宋体" w:eastAsia="宋体" w:cs="宋体"/>
          <w:b/>
          <w:bCs/>
          <w:snapToGrid w:val="0"/>
          <w:sz w:val="21"/>
          <w:szCs w:val="21"/>
        </w:rPr>
        <w:t>4、本工程采用下</w:t>
      </w:r>
      <w:r>
        <w:rPr>
          <w:rFonts w:hint="eastAsia" w:ascii="宋体" w:hAnsi="宋体" w:eastAsia="宋体" w:cs="宋体"/>
          <w:b/>
          <w:bCs/>
          <w:snapToGrid w:val="0"/>
          <w:sz w:val="21"/>
          <w:szCs w:val="21"/>
          <w:highlight w:val="none"/>
        </w:rPr>
        <w:t>列第</w:t>
      </w:r>
      <w:r>
        <w:rPr>
          <w:rFonts w:hint="eastAsia" w:ascii="宋体" w:hAnsi="宋体" w:eastAsia="宋体" w:cs="宋体"/>
          <w:b/>
          <w:bCs/>
          <w:snapToGrid w:val="0"/>
          <w:sz w:val="21"/>
          <w:szCs w:val="21"/>
          <w:highlight w:val="none"/>
          <w:u w:val="single"/>
        </w:rPr>
        <w:t xml:space="preserve"> </w:t>
      </w:r>
      <w:r>
        <w:rPr>
          <w:rFonts w:hint="eastAsia" w:ascii="宋体" w:hAnsi="宋体" w:eastAsia="宋体" w:cs="宋体"/>
          <w:b/>
          <w:bCs/>
          <w:snapToGrid w:val="0"/>
          <w:color w:val="0000FF"/>
          <w:sz w:val="21"/>
          <w:szCs w:val="21"/>
          <w:highlight w:val="none"/>
          <w:u w:val="single"/>
          <w:lang w:eastAsia="zh-CN"/>
        </w:rPr>
        <w:t>（</w:t>
      </w:r>
      <w:r>
        <w:rPr>
          <w:rFonts w:hint="eastAsia" w:ascii="宋体" w:hAnsi="宋体" w:eastAsia="宋体" w:cs="宋体"/>
          <w:b/>
          <w:bCs/>
          <w:snapToGrid w:val="0"/>
          <w:color w:val="0000FF"/>
          <w:sz w:val="21"/>
          <w:szCs w:val="21"/>
          <w:highlight w:val="none"/>
          <w:u w:val="single"/>
          <w:lang w:val="en-US" w:eastAsia="zh-CN"/>
        </w:rPr>
        <w:t>3</w:t>
      </w:r>
      <w:r>
        <w:rPr>
          <w:rFonts w:hint="eastAsia" w:ascii="宋体" w:hAnsi="宋体" w:eastAsia="宋体" w:cs="宋体"/>
          <w:b/>
          <w:bCs/>
          <w:snapToGrid w:val="0"/>
          <w:color w:val="0000FF"/>
          <w:sz w:val="21"/>
          <w:szCs w:val="21"/>
          <w:highlight w:val="none"/>
          <w:u w:val="single"/>
          <w:lang w:eastAsia="zh-CN"/>
        </w:rPr>
        <w:t>）</w:t>
      </w:r>
      <w:r>
        <w:rPr>
          <w:rFonts w:hint="eastAsia" w:ascii="宋体" w:hAnsi="宋体" w:eastAsia="宋体" w:cs="宋体"/>
          <w:b/>
          <w:bCs/>
          <w:snapToGrid w:val="0"/>
          <w:color w:val="0000FF"/>
          <w:sz w:val="21"/>
          <w:szCs w:val="21"/>
          <w:highlight w:val="none"/>
          <w:u w:val="single"/>
          <w:lang w:val="en-US" w:eastAsia="zh-CN"/>
        </w:rPr>
        <w:t xml:space="preserve"> </w:t>
      </w:r>
      <w:r>
        <w:rPr>
          <w:rFonts w:hint="eastAsia" w:ascii="宋体" w:hAnsi="宋体" w:eastAsia="宋体" w:cs="宋体"/>
          <w:b/>
          <w:bCs/>
          <w:snapToGrid w:val="0"/>
          <w:sz w:val="21"/>
          <w:szCs w:val="21"/>
          <w:highlight w:val="none"/>
        </w:rPr>
        <w:t>种方式进行评标。</w:t>
      </w:r>
    </w:p>
    <w:p w14:paraId="00AD46D2">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napToGrid w:val="0"/>
          <w:sz w:val="21"/>
          <w:szCs w:val="21"/>
        </w:rPr>
      </w:pPr>
      <w:r>
        <w:rPr>
          <w:rFonts w:hint="eastAsia" w:ascii="宋体" w:hAnsi="宋体" w:eastAsia="宋体" w:cs="宋体"/>
          <w:bCs/>
          <w:snapToGrid w:val="0"/>
          <w:sz w:val="21"/>
          <w:szCs w:val="21"/>
          <w:highlight w:val="none"/>
        </w:rPr>
        <w:t>（1）经评审的最低投标价法：是指在投标文件能够满足招标</w:t>
      </w:r>
      <w:r>
        <w:rPr>
          <w:rFonts w:hint="eastAsia" w:ascii="宋体" w:hAnsi="宋体" w:eastAsia="宋体" w:cs="宋体"/>
          <w:bCs/>
          <w:snapToGrid w:val="0"/>
          <w:sz w:val="21"/>
          <w:szCs w:val="21"/>
        </w:rPr>
        <w:t>文件实质性要求的承包人中，评审出投标价格最低的承包人，但投标价格低于其企业成本的除外。</w:t>
      </w:r>
    </w:p>
    <w:p w14:paraId="54BE33E0">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napToGrid w:val="0"/>
          <w:sz w:val="21"/>
          <w:szCs w:val="21"/>
        </w:rPr>
      </w:pPr>
      <w:r>
        <w:rPr>
          <w:rFonts w:hint="eastAsia" w:ascii="宋体" w:hAnsi="宋体" w:eastAsia="宋体" w:cs="宋体"/>
          <w:bCs/>
          <w:snapToGrid w:val="0"/>
          <w:sz w:val="21"/>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14:paraId="52B74549">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napToGrid w:val="0"/>
          <w:sz w:val="21"/>
          <w:szCs w:val="21"/>
        </w:rPr>
      </w:pPr>
      <w:r>
        <w:rPr>
          <w:rFonts w:hint="eastAsia" w:ascii="宋体" w:hAnsi="宋体" w:eastAsia="宋体" w:cs="宋体"/>
          <w:bCs/>
          <w:snapToGrid w:val="0"/>
          <w:sz w:val="21"/>
          <w:szCs w:val="21"/>
        </w:rPr>
        <w:t>（3）其他评标办法：</w:t>
      </w:r>
      <w:r>
        <w:rPr>
          <w:rFonts w:hint="eastAsia" w:ascii="宋体" w:hAnsi="宋体" w:eastAsia="宋体" w:cs="宋体"/>
          <w:b/>
          <w:bCs w:val="0"/>
          <w:snapToGrid w:val="0"/>
          <w:sz w:val="21"/>
          <w:szCs w:val="21"/>
        </w:rPr>
        <w:t>详见第五章</w:t>
      </w:r>
    </w:p>
    <w:p w14:paraId="39C69F40">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宋体" w:hAnsi="宋体" w:eastAsia="宋体" w:cs="宋体"/>
          <w:b/>
          <w:bCs/>
          <w:snapToGrid w:val="0"/>
          <w:sz w:val="21"/>
          <w:szCs w:val="21"/>
          <w:u w:val="single"/>
        </w:rPr>
      </w:pPr>
      <w:r>
        <w:rPr>
          <w:rFonts w:hint="eastAsia" w:ascii="宋体" w:hAnsi="宋体" w:eastAsia="宋体" w:cs="宋体"/>
          <w:b/>
          <w:bCs/>
          <w:snapToGrid w:val="0"/>
          <w:sz w:val="21"/>
          <w:szCs w:val="21"/>
        </w:rPr>
        <w:t>5、本工程过高或过低的投标价格的具体标准为下列第</w:t>
      </w:r>
      <w:r>
        <w:rPr>
          <w:rFonts w:hint="eastAsia" w:ascii="宋体" w:hAnsi="宋体" w:eastAsia="宋体" w:cs="宋体"/>
          <w:b/>
          <w:bCs/>
          <w:snapToGrid w:val="0"/>
          <w:sz w:val="21"/>
          <w:szCs w:val="21"/>
          <w:u w:val="single"/>
        </w:rPr>
        <w:t xml:space="preserve"> / </w:t>
      </w:r>
      <w:r>
        <w:rPr>
          <w:rFonts w:hint="eastAsia" w:ascii="宋体" w:hAnsi="宋体" w:eastAsia="宋体" w:cs="宋体"/>
          <w:b/>
          <w:bCs/>
          <w:snapToGrid w:val="0"/>
          <w:sz w:val="21"/>
          <w:szCs w:val="21"/>
        </w:rPr>
        <w:t>种方式：</w:t>
      </w:r>
    </w:p>
    <w:p w14:paraId="37C22D08">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napToGrid w:val="0"/>
          <w:sz w:val="21"/>
          <w:szCs w:val="21"/>
        </w:rPr>
      </w:pPr>
      <w:r>
        <w:rPr>
          <w:rFonts w:hint="eastAsia" w:ascii="宋体" w:hAnsi="宋体" w:eastAsia="宋体" w:cs="宋体"/>
          <w:bCs/>
          <w:snapToGrid w:val="0"/>
          <w:sz w:val="21"/>
          <w:szCs w:val="21"/>
        </w:rPr>
        <w:t>（1）以招标人设定的标底价格的一定幅度为标准；</w:t>
      </w:r>
    </w:p>
    <w:p w14:paraId="19E96928">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napToGrid w:val="0"/>
          <w:sz w:val="21"/>
          <w:szCs w:val="21"/>
        </w:rPr>
      </w:pPr>
      <w:r>
        <w:rPr>
          <w:rFonts w:hint="eastAsia" w:ascii="宋体" w:hAnsi="宋体" w:eastAsia="宋体" w:cs="宋体"/>
          <w:bCs/>
          <w:snapToGrid w:val="0"/>
          <w:sz w:val="21"/>
          <w:szCs w:val="21"/>
        </w:rPr>
        <w:t>（2）以建设行政主管部门或有关行业协会公布的信息指导价的一定幅度为标准；</w:t>
      </w:r>
    </w:p>
    <w:p w14:paraId="1D29617A">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napToGrid w:val="0"/>
          <w:sz w:val="21"/>
          <w:szCs w:val="21"/>
        </w:rPr>
      </w:pPr>
      <w:r>
        <w:rPr>
          <w:rFonts w:hint="eastAsia" w:ascii="宋体" w:hAnsi="宋体" w:eastAsia="宋体" w:cs="宋体"/>
          <w:bCs/>
          <w:snapToGrid w:val="0"/>
          <w:sz w:val="21"/>
          <w:szCs w:val="21"/>
        </w:rPr>
        <w:t>（3）以承包人投标价格的平均值的一定幅度为标准。</w:t>
      </w:r>
    </w:p>
    <w:p w14:paraId="6D8368EA">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宋体" w:hAnsi="宋体" w:eastAsia="宋体" w:cs="宋体"/>
          <w:bCs/>
          <w:snapToGrid w:val="0"/>
          <w:sz w:val="21"/>
          <w:szCs w:val="21"/>
        </w:rPr>
      </w:pPr>
      <w:r>
        <w:rPr>
          <w:rFonts w:hint="eastAsia" w:ascii="宋体" w:hAnsi="宋体" w:eastAsia="宋体" w:cs="宋体"/>
          <w:b/>
          <w:bCs/>
          <w:snapToGrid w:val="0"/>
          <w:sz w:val="21"/>
          <w:szCs w:val="21"/>
        </w:rPr>
        <w:t>6、</w:t>
      </w:r>
      <w:r>
        <w:rPr>
          <w:rFonts w:hint="eastAsia" w:ascii="宋体" w:hAnsi="宋体" w:eastAsia="宋体" w:cs="宋体"/>
          <w:bCs/>
          <w:snapToGrid w:val="0"/>
          <w:sz w:val="21"/>
          <w:szCs w:val="21"/>
        </w:rPr>
        <w:t>过低的投标价格，评标委员会应当对与该价格相关的下列因素进行重点分析：</w:t>
      </w:r>
    </w:p>
    <w:p w14:paraId="0637AD7C">
      <w:pPr>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（1）工程内容是否完整；</w:t>
      </w:r>
    </w:p>
    <w:p w14:paraId="3C4AEEDA">
      <w:pPr>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（2）施工方法是否正确；</w:t>
      </w:r>
    </w:p>
    <w:p w14:paraId="0A40B50B">
      <w:pPr>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（3）施工组织和技术处理是否合理、可行；</w:t>
      </w:r>
    </w:p>
    <w:p w14:paraId="202AB817">
      <w:pPr>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（4）综合单价和单项费用金额的组成、工料机消耗及确定的费用、利润是否合理；</w:t>
      </w:r>
    </w:p>
    <w:p w14:paraId="7ED3CBC2">
      <w:pPr>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（5）是否满足招标文件对主要材料的规格、型号等的特殊要求，确定的价格材料是否合理；</w:t>
      </w:r>
    </w:p>
    <w:p w14:paraId="0259426F">
      <w:pPr>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（6）承包人对澄清要求所作的说明是否合理，提供的相关的证明材料是否具有说服力。</w:t>
      </w:r>
    </w:p>
    <w:p w14:paraId="78BE7703">
      <w:pPr>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承包人不能合理说明或者不能提供相关证明材料，或者评标委员会有充分的理由认定上述因素不能支持投标价格成立的，应当在评标报告中详细记录认定的理由和依据。</w:t>
      </w:r>
    </w:p>
    <w:p w14:paraId="16144CDC">
      <w:pPr>
        <w:keepNext w:val="0"/>
        <w:keepLines w:val="0"/>
        <w:pageBreakBefore w:val="0"/>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宋体" w:hAnsi="宋体" w:eastAsia="宋体" w:cs="宋体"/>
          <w:snapToGrid w:val="0"/>
          <w:sz w:val="21"/>
          <w:szCs w:val="21"/>
        </w:rPr>
      </w:pPr>
      <w:r>
        <w:rPr>
          <w:rFonts w:hint="eastAsia" w:ascii="宋体" w:hAnsi="宋体" w:eastAsia="宋体" w:cs="宋体"/>
          <w:b/>
          <w:snapToGrid w:val="0"/>
          <w:sz w:val="21"/>
          <w:szCs w:val="21"/>
        </w:rPr>
        <w:t>7、</w:t>
      </w:r>
      <w:r>
        <w:rPr>
          <w:rFonts w:hint="eastAsia" w:ascii="宋体" w:hAnsi="宋体" w:eastAsia="宋体" w:cs="宋体"/>
          <w:snapToGrid w:val="0"/>
          <w:sz w:val="21"/>
          <w:szCs w:val="21"/>
        </w:rPr>
        <w:t>评标过程中数据和评分的计算过程和计算结果均</w:t>
      </w:r>
      <w:r>
        <w:rPr>
          <w:rFonts w:hint="eastAsia" w:ascii="宋体" w:hAnsi="宋体" w:eastAsia="宋体" w:cs="宋体"/>
          <w:snapToGrid w:val="0"/>
          <w:sz w:val="21"/>
          <w:szCs w:val="21"/>
          <w:lang w:eastAsia="zh-CN"/>
        </w:rPr>
        <w:t>保留两位</w:t>
      </w:r>
      <w:r>
        <w:rPr>
          <w:rFonts w:hint="eastAsia" w:ascii="宋体" w:hAnsi="宋体" w:eastAsia="宋体" w:cs="宋体"/>
          <w:snapToGrid w:val="0"/>
          <w:sz w:val="21"/>
          <w:szCs w:val="21"/>
        </w:rPr>
        <w:t>小数，小数点后的第三位四舍五入。</w:t>
      </w:r>
    </w:p>
    <w:p w14:paraId="22D03B92">
      <w:pPr>
        <w:keepNext w:val="0"/>
        <w:keepLines w:val="0"/>
        <w:pageBreakBefore w:val="0"/>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宋体" w:hAnsi="宋体" w:eastAsia="宋体" w:cs="宋体"/>
          <w:b/>
          <w:bCs/>
          <w:snapToGrid w:val="0"/>
          <w:sz w:val="21"/>
          <w:szCs w:val="21"/>
        </w:rPr>
      </w:pPr>
      <w:r>
        <w:rPr>
          <w:rFonts w:hint="eastAsia" w:ascii="宋体" w:hAnsi="宋体" w:eastAsia="宋体" w:cs="宋体"/>
          <w:b/>
          <w:snapToGrid w:val="0"/>
          <w:sz w:val="21"/>
          <w:szCs w:val="21"/>
        </w:rPr>
        <w:t>8、</w:t>
      </w:r>
      <w:r>
        <w:rPr>
          <w:rFonts w:hint="eastAsia" w:ascii="宋体" w:hAnsi="宋体" w:eastAsia="宋体" w:cs="宋体"/>
          <w:snapToGrid w:val="0"/>
          <w:sz w:val="21"/>
          <w:szCs w:val="21"/>
        </w:rPr>
        <w:t>在评标过程中，评标委员会成员对同一问题意见不一致的，按照少数服从多数的原则形成评标结论。</w:t>
      </w:r>
    </w:p>
    <w:p w14:paraId="22CD2106">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78C6038D">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宋体" w:hAnsi="宋体" w:eastAsia="宋体" w:cs="宋体"/>
          <w:snapToGrid w:val="0"/>
          <w:sz w:val="21"/>
          <w:szCs w:val="21"/>
        </w:rPr>
      </w:pPr>
      <w:r>
        <w:rPr>
          <w:rFonts w:hint="eastAsia" w:ascii="宋体" w:hAnsi="宋体" w:eastAsia="宋体" w:cs="宋体"/>
          <w:b/>
          <w:snapToGrid w:val="0"/>
          <w:sz w:val="21"/>
          <w:szCs w:val="21"/>
        </w:rPr>
        <w:t>9、</w:t>
      </w:r>
      <w:r>
        <w:rPr>
          <w:rFonts w:hint="eastAsia" w:ascii="宋体" w:hAnsi="宋体" w:eastAsia="宋体" w:cs="宋体"/>
          <w:snapToGrid w:val="0"/>
          <w:sz w:val="21"/>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14:paraId="3D995D58">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（十七）投标文件的澄清</w:t>
      </w:r>
    </w:p>
    <w:p w14:paraId="174032C8">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1、为了有助于投标文件的审查、评价和比较，评标委员会可以书面方式要求承包人对</w:t>
      </w:r>
    </w:p>
    <w:p w14:paraId="74250C35">
      <w:pPr>
        <w:pStyle w:val="5"/>
        <w:keepNext w:val="0"/>
        <w:keepLines w:val="0"/>
        <w:pageBreakBefore w:val="0"/>
        <w:kinsoku/>
        <w:wordWrap/>
        <w:overflowPunct/>
        <w:topLinePunct w:val="0"/>
        <w:autoSpaceDE/>
        <w:autoSpaceDN/>
        <w:bidi w:val="0"/>
        <w:adjustRightInd w:val="0"/>
        <w:snapToGrid w:val="0"/>
        <w:spacing w:line="400" w:lineRule="exact"/>
        <w:ind w:left="0" w:leftChars="0" w:firstLine="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14:paraId="141B2F30">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2、评标委员会在对实质上响应招标文件要求的投标进行报价时，除招标文件另有约定外，将按下述原则进行修正。</w:t>
      </w:r>
    </w:p>
    <w:p w14:paraId="3732C0CC">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（1）用数字表示的数额与用文字表示的数额不一致时，以文字数额为准；</w:t>
      </w:r>
    </w:p>
    <w:p w14:paraId="735F81A8">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（2）单价与工程量的乘积与总价之间不一致时，以单价为准。若单价有明显的小数点错位，应以总价为准，并修改单价。</w:t>
      </w:r>
    </w:p>
    <w:p w14:paraId="2D9DACED">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(3)工程量清单计价格式中列明的所有需要填报的单价和合价，承包人均应填报，未填报的单价和合价，视为此项费用已包含在工程量清单的其他单价和合价中。</w:t>
      </w:r>
    </w:p>
    <w:p w14:paraId="630EC702">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（4）按前款规定调整后的报价经承包人</w:t>
      </w:r>
      <w:r>
        <w:rPr>
          <w:rFonts w:hint="eastAsia" w:ascii="宋体" w:hAnsi="宋体" w:eastAsia="宋体" w:cs="宋体"/>
          <w:bCs/>
          <w:snapToGrid w:val="0"/>
          <w:sz w:val="21"/>
          <w:szCs w:val="21"/>
        </w:rPr>
        <w:t>确认</w:t>
      </w:r>
      <w:r>
        <w:rPr>
          <w:rFonts w:hint="eastAsia" w:ascii="宋体" w:hAnsi="宋体" w:eastAsia="宋体" w:cs="宋体"/>
          <w:snapToGrid w:val="0"/>
          <w:sz w:val="21"/>
          <w:szCs w:val="21"/>
        </w:rPr>
        <w:t>后产生约束力。</w:t>
      </w:r>
    </w:p>
    <w:p w14:paraId="13F77AF7">
      <w:pPr>
        <w:pStyle w:val="5"/>
        <w:keepNext w:val="0"/>
        <w:keepLines w:val="0"/>
        <w:pageBreakBefore w:val="0"/>
        <w:tabs>
          <w:tab w:val="clear"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评标委员会按照上述规定的原则，要求承包人对相关内容进行澄清、说明或补正、修正的，承包人应当按照要求进行澄清、说明或补正、修正的；承包人拒绝的，评标委员会可以否决其投标。</w:t>
      </w:r>
    </w:p>
    <w:p w14:paraId="582E3090">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14:paraId="39460552">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14:paraId="7AE90754">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（二十）投标文件有下述情形之一的，属于重大偏差，视为未能对招标文件作出实质性响应，作无效标处理：</w:t>
      </w:r>
    </w:p>
    <w:p w14:paraId="6FDB0C01">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1、投标文件中的投标函未加盖承包人的公章及企业法定代表人印章的，或者企业法定代表人委托代理人没有合法、有效的委托书（原件）及委托代理人印章的；</w:t>
      </w:r>
    </w:p>
    <w:p w14:paraId="645A4B1A">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2、未按招标文件要求提供投标保证金的；</w:t>
      </w:r>
    </w:p>
    <w:p w14:paraId="3DCA6C6F">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3、未按招标文件规定的格式填写，内容不全或关键字迹模糊，无法辨认的；</w:t>
      </w:r>
    </w:p>
    <w:p w14:paraId="1C1EA01A">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14:paraId="29CE755B">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5、承包人名称或组织结构与资格审查时不一致的；</w:t>
      </w:r>
    </w:p>
    <w:p w14:paraId="3528D75B">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6、除在投标文件截止时间前经招标人书面同意外，项目经理与资格审查时不一致的；</w:t>
      </w:r>
    </w:p>
    <w:p w14:paraId="29F9AD21">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7、承包人资格条件不符合国家有关规定或招标文件要求的；</w:t>
      </w:r>
    </w:p>
    <w:p w14:paraId="047E23AA">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8、投标文件载明的招标项目完成期限超过招标文件规定的期限；</w:t>
      </w:r>
    </w:p>
    <w:p w14:paraId="4B2235AE">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 xml:space="preserve">9、明显不符合技术规范，技术标准的要求；                                                         </w:t>
      </w:r>
    </w:p>
    <w:p w14:paraId="58AF7F95">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10、投标报价超过招标文件规定的控制总价、控制单价的；</w:t>
      </w:r>
    </w:p>
    <w:p w14:paraId="35459D1B">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11、不同承包人的投标文件出现了评标委员会认为不应当雷同的情况；</w:t>
      </w:r>
    </w:p>
    <w:p w14:paraId="652ADE41">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12、投标文件的已标价工程量清单与招标文件提供的工程量清单中的项目编码、项目名称、项目特征、计量单位、工程量不一致的；</w:t>
      </w:r>
    </w:p>
    <w:p w14:paraId="73C92BBF">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13、投标报价中任一项目综合单价为0、负数、缺项的；</w:t>
      </w:r>
    </w:p>
    <w:p w14:paraId="31FDB7FF">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14、改变招标文件规定的暂定价格或不可竟争费用的；</w:t>
      </w:r>
    </w:p>
    <w:p w14:paraId="23B6B0C0">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jc w:val="lef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15、投标文件提出了不能满足招标文件要求或招标人不能接受的工程验收、计量、价款结算支付办法；</w:t>
      </w:r>
    </w:p>
    <w:p w14:paraId="6941309D">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jc w:val="lef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16、以他人的名义投标、串通投标、以行贿手段谋取中标或者以其他弄虚作假方式投标的；</w:t>
      </w:r>
    </w:p>
    <w:p w14:paraId="04EE5BFD">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jc w:val="lef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17、投标文件未装订成册的（含活页装订的）；</w:t>
      </w:r>
    </w:p>
    <w:p w14:paraId="323E98EF">
      <w:pPr>
        <w:keepNext w:val="0"/>
        <w:keepLines w:val="0"/>
        <w:pageBreakBefore w:val="0"/>
        <w:tabs>
          <w:tab w:val="left" w:pos="709"/>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18、评标委员会根据规定否决不合格投标或者界定为无效投标文件后，因有效投标不足三个使得投标明显缺乏竞争的，评标委员会可以否决全部投标。所有投标被否决的，招标人依法重新招标。</w:t>
      </w:r>
    </w:p>
    <w:p w14:paraId="0776BE08">
      <w:pPr>
        <w:pStyle w:val="5"/>
        <w:keepNext w:val="0"/>
        <w:keepLines w:val="0"/>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14:paraId="21493041">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jc w:val="center"/>
        <w:textAlignment w:val="auto"/>
        <w:rPr>
          <w:rFonts w:hint="eastAsia" w:ascii="宋体" w:hAnsi="宋体" w:eastAsia="宋体" w:cs="宋体"/>
          <w:b/>
          <w:snapToGrid w:val="0"/>
          <w:sz w:val="21"/>
          <w:szCs w:val="21"/>
        </w:rPr>
      </w:pPr>
    </w:p>
    <w:p w14:paraId="692D4767">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jc w:val="center"/>
        <w:textAlignment w:val="auto"/>
        <w:rPr>
          <w:rFonts w:hint="eastAsia" w:ascii="宋体" w:hAnsi="宋体" w:eastAsia="宋体" w:cs="宋体"/>
          <w:snapToGrid w:val="0"/>
          <w:sz w:val="21"/>
          <w:szCs w:val="21"/>
        </w:rPr>
      </w:pPr>
      <w:r>
        <w:rPr>
          <w:rFonts w:hint="eastAsia" w:ascii="宋体" w:hAnsi="宋体" w:eastAsia="宋体" w:cs="宋体"/>
          <w:b/>
          <w:snapToGrid w:val="0"/>
          <w:sz w:val="21"/>
          <w:szCs w:val="21"/>
        </w:rPr>
        <w:t>八、授予合同</w:t>
      </w:r>
    </w:p>
    <w:p w14:paraId="6BA4343F">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（二十二）中标</w:t>
      </w:r>
    </w:p>
    <w:p w14:paraId="720EFDDC">
      <w:pPr>
        <w:keepNext w:val="0"/>
        <w:keepLines w:val="0"/>
        <w:pageBreakBefore w:val="0"/>
        <w:numPr>
          <w:ilvl w:val="0"/>
          <w:numId w:val="2"/>
        </w:numPr>
        <w:tabs>
          <w:tab w:val="left" w:pos="0"/>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确定中标单位后，招标人将进行中标公示，公示</w:t>
      </w:r>
      <w:r>
        <w:rPr>
          <w:rFonts w:hint="eastAsia" w:ascii="宋体" w:hAnsi="宋体" w:eastAsia="宋体" w:cs="宋体"/>
          <w:snapToGrid w:val="0"/>
          <w:sz w:val="21"/>
          <w:szCs w:val="21"/>
          <w:lang w:val="en-US" w:eastAsia="zh-CN"/>
        </w:rPr>
        <w:t>3</w:t>
      </w:r>
      <w:r>
        <w:rPr>
          <w:rFonts w:hint="eastAsia" w:ascii="宋体" w:hAnsi="宋体" w:eastAsia="宋体" w:cs="宋体"/>
          <w:snapToGrid w:val="0"/>
          <w:sz w:val="21"/>
          <w:szCs w:val="21"/>
        </w:rPr>
        <w:t>个工作日，如无异议，招标人向中标单位发出中标通知书，并同时将中标结果通知所有未中标的承包人。中标通知书将成为合同的组成部分。</w:t>
      </w:r>
    </w:p>
    <w:p w14:paraId="1EAAAF63">
      <w:pPr>
        <w:keepNext w:val="0"/>
        <w:keepLines w:val="0"/>
        <w:pageBreakBefore w:val="0"/>
        <w:numPr>
          <w:ilvl w:val="0"/>
          <w:numId w:val="2"/>
        </w:numPr>
        <w:tabs>
          <w:tab w:val="left" w:pos="0"/>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 xml:space="preserve">中标单位收到中标通知书后，应在30日内与招标人签订施工合同。中标人不与招 </w:t>
      </w:r>
    </w:p>
    <w:p w14:paraId="2C2B6CE2">
      <w:pPr>
        <w:keepNext w:val="0"/>
        <w:keepLines w:val="0"/>
        <w:pageBreakBefore w:val="0"/>
        <w:tabs>
          <w:tab w:val="left" w:pos="0"/>
          <w:tab w:val="left" w:pos="993"/>
        </w:tabs>
        <w:kinsoku/>
        <w:wordWrap/>
        <w:overflowPunct/>
        <w:topLinePunct w:val="0"/>
        <w:autoSpaceDE/>
        <w:autoSpaceDN/>
        <w:bidi w:val="0"/>
        <w:adjustRightInd w:val="0"/>
        <w:snapToGrid w:val="0"/>
        <w:spacing w:line="400" w:lineRule="exact"/>
        <w:ind w:left="0" w:leftChars="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标人订立合同的，投标保证金不予退还并取消其中标资格，给招标人造成的损失超过投标保证金数额的，应当对超过部分予以赔偿。</w:t>
      </w:r>
    </w:p>
    <w:p w14:paraId="59CD6AEA">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（二十三）合同签订</w:t>
      </w:r>
    </w:p>
    <w:p w14:paraId="733A325D">
      <w:pPr>
        <w:keepNext w:val="0"/>
        <w:keepLines w:val="0"/>
        <w:pageBreakBefore w:val="0"/>
        <w:tabs>
          <w:tab w:val="left" w:pos="0"/>
          <w:tab w:val="left" w:pos="1002"/>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1、招标人与中标人将根据《</w:t>
      </w:r>
      <w:r>
        <w:rPr>
          <w:rFonts w:hint="eastAsia" w:ascii="宋体" w:hAnsi="宋体" w:eastAsia="宋体" w:cs="宋体"/>
          <w:snapToGrid w:val="0"/>
          <w:sz w:val="21"/>
          <w:szCs w:val="21"/>
          <w:lang w:eastAsia="zh-CN"/>
        </w:rPr>
        <w:t>中华人民共和国</w:t>
      </w:r>
      <w:r>
        <w:rPr>
          <w:rFonts w:hint="eastAsia" w:ascii="宋体" w:hAnsi="宋体" w:eastAsia="宋体" w:cs="宋体"/>
          <w:snapToGrid w:val="0"/>
          <w:sz w:val="21"/>
          <w:szCs w:val="21"/>
        </w:rPr>
        <w:t>民法典》的规定，依据招标文件和投标文件签订施工合同。</w:t>
      </w:r>
    </w:p>
    <w:p w14:paraId="7E64FFF6">
      <w:pPr>
        <w:keepNext w:val="0"/>
        <w:keepLines w:val="0"/>
        <w:pageBreakBefore w:val="0"/>
        <w:tabs>
          <w:tab w:val="left" w:pos="0"/>
          <w:tab w:val="left" w:pos="1134"/>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snapToGrid w:val="0"/>
          <w:sz w:val="21"/>
          <w:szCs w:val="21"/>
          <w:lang w:val="en-US" w:eastAsia="zh-CN"/>
        </w:rPr>
      </w:pPr>
      <w:r>
        <w:rPr>
          <w:rFonts w:hint="eastAsia" w:ascii="宋体" w:hAnsi="宋体" w:eastAsia="宋体" w:cs="宋体"/>
          <w:snapToGrid w:val="0"/>
          <w:sz w:val="21"/>
          <w:szCs w:val="21"/>
        </w:rPr>
        <w:t>2、履约保证金：</w:t>
      </w:r>
      <w:r>
        <w:rPr>
          <w:rFonts w:hint="eastAsia" w:ascii="宋体" w:hAnsi="宋体" w:eastAsia="宋体" w:cs="宋体"/>
          <w:b/>
          <w:bCs/>
          <w:snapToGrid w:val="0"/>
          <w:sz w:val="21"/>
          <w:szCs w:val="21"/>
          <w:u w:val="none"/>
          <w:lang w:val="en-US" w:eastAsia="zh-CN"/>
        </w:rPr>
        <w:t>详见前附表。</w:t>
      </w:r>
    </w:p>
    <w:p w14:paraId="6D8F9DA9">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30383"/>
      <w:bookmarkStart w:id="7" w:name="_Toc28113"/>
      <w:bookmarkStart w:id="8" w:name="_Toc28140"/>
      <w:bookmarkStart w:id="9" w:name="_Toc2005"/>
      <w:bookmarkStart w:id="10" w:name="_Toc21071"/>
      <w:bookmarkStart w:id="11" w:name="_Toc31178"/>
      <w:r>
        <w:rPr>
          <w:rFonts w:hint="eastAsia" w:ascii="宋体" w:hAnsi="宋体"/>
          <w:b/>
          <w:sz w:val="28"/>
          <w:szCs w:val="28"/>
        </w:rPr>
        <w:t>第二章 合同协议</w:t>
      </w:r>
      <w:bookmarkEnd w:id="6"/>
      <w:bookmarkEnd w:id="7"/>
      <w:bookmarkEnd w:id="8"/>
      <w:bookmarkEnd w:id="9"/>
      <w:bookmarkEnd w:id="10"/>
      <w:bookmarkEnd w:id="11"/>
    </w:p>
    <w:p w14:paraId="069ED182">
      <w:pPr>
        <w:pStyle w:val="3"/>
        <w:rPr>
          <w:rFonts w:ascii="宋体" w:hAnsi="宋体"/>
        </w:rPr>
      </w:pPr>
    </w:p>
    <w:p w14:paraId="0640CFB7">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13643"/>
      <w:bookmarkStart w:id="13" w:name="_Toc9323"/>
      <w:bookmarkStart w:id="14" w:name="_Toc31468"/>
      <w:bookmarkStart w:id="15" w:name="_Toc6401"/>
      <w:bookmarkStart w:id="16" w:name="_Toc14619"/>
      <w:bookmarkStart w:id="17" w:name="_Toc424397471"/>
      <w:bookmarkStart w:id="18" w:name="_Toc31683"/>
    </w:p>
    <w:p w14:paraId="17B14F0C">
      <w:pPr>
        <w:pStyle w:val="2"/>
      </w:pPr>
    </w:p>
    <w:p w14:paraId="0F87D608">
      <w:pPr>
        <w:rPr>
          <w:rFonts w:ascii="宋体" w:hAnsi="宋体"/>
        </w:rPr>
      </w:pPr>
    </w:p>
    <w:p w14:paraId="4CE143D5">
      <w:pPr>
        <w:tabs>
          <w:tab w:val="left" w:pos="0"/>
          <w:tab w:val="left" w:pos="993"/>
          <w:tab w:val="left" w:pos="1134"/>
        </w:tabs>
        <w:adjustRightInd w:val="0"/>
        <w:snapToGrid w:val="0"/>
        <w:spacing w:line="360" w:lineRule="auto"/>
        <w:outlineLvl w:val="0"/>
        <w:rPr>
          <w:rFonts w:ascii="宋体" w:hAnsi="宋体"/>
          <w:b/>
          <w:snapToGrid w:val="0"/>
          <w:sz w:val="24"/>
        </w:rPr>
      </w:pPr>
    </w:p>
    <w:p w14:paraId="648D9BDE">
      <w:pPr>
        <w:pStyle w:val="3"/>
        <w:rPr>
          <w:rFonts w:ascii="宋体" w:hAnsi="宋体"/>
          <w:b/>
          <w:snapToGrid w:val="0"/>
          <w:sz w:val="24"/>
        </w:rPr>
      </w:pPr>
    </w:p>
    <w:p w14:paraId="5BE1D42A"/>
    <w:tbl>
      <w:tblPr>
        <w:tblStyle w:val="13"/>
        <w:tblW w:w="0" w:type="auto"/>
        <w:jc w:val="center"/>
        <w:tblLayout w:type="fixed"/>
        <w:tblCellMar>
          <w:top w:w="0" w:type="dxa"/>
          <w:left w:w="108" w:type="dxa"/>
          <w:bottom w:w="0" w:type="dxa"/>
          <w:right w:w="108" w:type="dxa"/>
        </w:tblCellMar>
      </w:tblPr>
      <w:tblGrid>
        <w:gridCol w:w="1476"/>
        <w:gridCol w:w="6641"/>
      </w:tblGrid>
      <w:tr w14:paraId="6C6B92A0">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019F127C">
            <w:pPr>
              <w:jc w:val="center"/>
              <w:rPr>
                <w:rFonts w:ascii="宋体" w:hAnsi="宋体"/>
                <w:b/>
                <w:bCs/>
                <w:sz w:val="24"/>
                <w:szCs w:val="24"/>
              </w:rPr>
            </w:pPr>
            <w:r>
              <w:rPr>
                <w:rFonts w:hint="eastAsia" w:ascii="宋体" w:hAnsi="宋体"/>
                <w:b/>
                <w:bCs/>
                <w:sz w:val="24"/>
                <w:szCs w:val="24"/>
              </w:rPr>
              <w:t>工程名称</w:t>
            </w:r>
          </w:p>
        </w:tc>
        <w:tc>
          <w:tcPr>
            <w:tcW w:w="6641" w:type="dxa"/>
            <w:tcBorders>
              <w:top w:val="single" w:color="auto" w:sz="4" w:space="0"/>
              <w:left w:val="nil"/>
              <w:bottom w:val="single" w:color="auto" w:sz="4" w:space="0"/>
              <w:right w:val="single" w:color="auto" w:sz="4" w:space="0"/>
            </w:tcBorders>
            <w:vAlign w:val="center"/>
          </w:tcPr>
          <w:p w14:paraId="287757CF">
            <w:pPr>
              <w:jc w:val="center"/>
              <w:rPr>
                <w:rFonts w:hint="eastAsia" w:ascii="宋体" w:hAnsi="宋体"/>
                <w:b/>
                <w:bCs/>
                <w:sz w:val="28"/>
                <w:szCs w:val="28"/>
                <w:lang w:val="en-US" w:eastAsia="zh-CN"/>
              </w:rPr>
            </w:pPr>
          </w:p>
        </w:tc>
      </w:tr>
      <w:tr w14:paraId="6EB0BD67">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71C70015">
            <w:pPr>
              <w:jc w:val="center"/>
              <w:rPr>
                <w:rFonts w:ascii="宋体" w:hAnsi="宋体"/>
                <w:b/>
                <w:bCs/>
                <w:sz w:val="24"/>
                <w:szCs w:val="24"/>
              </w:rPr>
            </w:pPr>
            <w:r>
              <w:rPr>
                <w:rFonts w:hint="eastAsia" w:ascii="宋体" w:hAnsi="宋体"/>
                <w:b/>
                <w:bCs/>
                <w:sz w:val="24"/>
                <w:szCs w:val="24"/>
              </w:rPr>
              <w:t>项目经理</w:t>
            </w:r>
          </w:p>
        </w:tc>
        <w:tc>
          <w:tcPr>
            <w:tcW w:w="6641" w:type="dxa"/>
            <w:tcBorders>
              <w:top w:val="single" w:color="auto" w:sz="4" w:space="0"/>
              <w:left w:val="nil"/>
              <w:bottom w:val="single" w:color="auto" w:sz="4" w:space="0"/>
              <w:right w:val="single" w:color="auto" w:sz="4" w:space="0"/>
            </w:tcBorders>
            <w:vAlign w:val="center"/>
          </w:tcPr>
          <w:p w14:paraId="12E82232">
            <w:pPr>
              <w:jc w:val="center"/>
              <w:rPr>
                <w:rFonts w:hint="eastAsia" w:ascii="宋体" w:hAnsi="宋体"/>
                <w:b/>
                <w:bCs/>
                <w:sz w:val="28"/>
                <w:szCs w:val="28"/>
                <w:lang w:val="en-US" w:eastAsia="zh-CN"/>
              </w:rPr>
            </w:pPr>
          </w:p>
        </w:tc>
      </w:tr>
      <w:tr w14:paraId="2B660A86">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7E53EA4B">
            <w:pPr>
              <w:jc w:val="center"/>
              <w:rPr>
                <w:rFonts w:ascii="宋体" w:hAnsi="宋体"/>
                <w:b/>
                <w:bCs/>
                <w:sz w:val="24"/>
                <w:szCs w:val="24"/>
              </w:rPr>
            </w:pPr>
            <w:r>
              <w:rPr>
                <w:rFonts w:hint="eastAsia" w:ascii="宋体" w:hAnsi="宋体"/>
                <w:b/>
                <w:bCs/>
                <w:sz w:val="24"/>
                <w:szCs w:val="24"/>
              </w:rPr>
              <w:t>工期</w:t>
            </w:r>
          </w:p>
        </w:tc>
        <w:tc>
          <w:tcPr>
            <w:tcW w:w="6641" w:type="dxa"/>
            <w:tcBorders>
              <w:top w:val="single" w:color="auto" w:sz="4" w:space="0"/>
              <w:left w:val="nil"/>
              <w:bottom w:val="single" w:color="auto" w:sz="4" w:space="0"/>
              <w:right w:val="single" w:color="auto" w:sz="4" w:space="0"/>
            </w:tcBorders>
            <w:vAlign w:val="center"/>
          </w:tcPr>
          <w:p w14:paraId="69694AA6">
            <w:pPr>
              <w:jc w:val="center"/>
              <w:rPr>
                <w:rFonts w:hint="eastAsia" w:ascii="宋体" w:hAnsi="宋体"/>
                <w:b/>
                <w:bCs/>
                <w:sz w:val="28"/>
                <w:szCs w:val="28"/>
                <w:lang w:val="en-US" w:eastAsia="zh-CN"/>
              </w:rPr>
            </w:pPr>
          </w:p>
        </w:tc>
      </w:tr>
      <w:tr w14:paraId="5A8C3A08">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2B21BF39">
            <w:pPr>
              <w:jc w:val="center"/>
              <w:rPr>
                <w:rFonts w:hint="default" w:ascii="宋体" w:hAnsi="宋体" w:eastAsiaTheme="minorEastAsia"/>
                <w:b/>
                <w:bCs/>
                <w:sz w:val="24"/>
                <w:szCs w:val="24"/>
                <w:lang w:val="en-US" w:eastAsia="zh-CN"/>
              </w:rPr>
            </w:pPr>
            <w:r>
              <w:rPr>
                <w:rFonts w:hint="eastAsia" w:ascii="宋体" w:hAnsi="宋体"/>
                <w:b/>
                <w:bCs/>
                <w:sz w:val="24"/>
                <w:szCs w:val="24"/>
                <w:lang w:val="en-US" w:eastAsia="zh-CN"/>
              </w:rPr>
              <w:t>施工单位</w:t>
            </w:r>
          </w:p>
        </w:tc>
        <w:tc>
          <w:tcPr>
            <w:tcW w:w="6641" w:type="dxa"/>
            <w:tcBorders>
              <w:top w:val="single" w:color="auto" w:sz="4" w:space="0"/>
              <w:left w:val="nil"/>
              <w:bottom w:val="single" w:color="auto" w:sz="4" w:space="0"/>
              <w:right w:val="single" w:color="auto" w:sz="4" w:space="0"/>
            </w:tcBorders>
            <w:vAlign w:val="center"/>
          </w:tcPr>
          <w:p w14:paraId="43ED269E">
            <w:pPr>
              <w:jc w:val="center"/>
              <w:rPr>
                <w:rFonts w:hint="eastAsia" w:ascii="宋体" w:hAnsi="宋体"/>
                <w:b/>
                <w:bCs/>
                <w:sz w:val="28"/>
                <w:szCs w:val="28"/>
                <w:lang w:val="en-US" w:eastAsia="zh-CN"/>
              </w:rPr>
            </w:pPr>
          </w:p>
        </w:tc>
      </w:tr>
      <w:tr w14:paraId="7ECEF8F6">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279956AD">
            <w:pPr>
              <w:jc w:val="center"/>
              <w:rPr>
                <w:rFonts w:ascii="宋体" w:hAnsi="宋体"/>
                <w:b/>
                <w:bCs/>
                <w:sz w:val="24"/>
                <w:szCs w:val="24"/>
              </w:rPr>
            </w:pPr>
            <w:r>
              <w:rPr>
                <w:rFonts w:hint="eastAsia" w:ascii="宋体" w:hAnsi="宋体"/>
                <w:b/>
                <w:bCs/>
                <w:sz w:val="24"/>
                <w:szCs w:val="24"/>
              </w:rPr>
              <w:t>工程地点</w:t>
            </w:r>
          </w:p>
        </w:tc>
        <w:tc>
          <w:tcPr>
            <w:tcW w:w="6641" w:type="dxa"/>
            <w:tcBorders>
              <w:top w:val="single" w:color="auto" w:sz="4" w:space="0"/>
              <w:left w:val="nil"/>
              <w:bottom w:val="single" w:color="auto" w:sz="4" w:space="0"/>
              <w:right w:val="single" w:color="auto" w:sz="4" w:space="0"/>
            </w:tcBorders>
            <w:vAlign w:val="center"/>
          </w:tcPr>
          <w:p w14:paraId="6C049AB8">
            <w:pPr>
              <w:jc w:val="center"/>
              <w:rPr>
                <w:rFonts w:hint="default" w:ascii="宋体" w:hAnsi="宋体"/>
                <w:b/>
                <w:bCs/>
                <w:sz w:val="28"/>
                <w:szCs w:val="28"/>
                <w:lang w:val="en-US" w:eastAsia="zh-CN"/>
              </w:rPr>
            </w:pPr>
          </w:p>
        </w:tc>
      </w:tr>
    </w:tbl>
    <w:p w14:paraId="6FD9C2C0">
      <w:pPr>
        <w:tabs>
          <w:tab w:val="left" w:pos="0"/>
          <w:tab w:val="left" w:pos="993"/>
          <w:tab w:val="left" w:pos="1134"/>
        </w:tabs>
        <w:adjustRightInd w:val="0"/>
        <w:snapToGrid w:val="0"/>
        <w:spacing w:line="360" w:lineRule="auto"/>
        <w:jc w:val="center"/>
        <w:outlineLvl w:val="0"/>
        <w:rPr>
          <w:rFonts w:ascii="宋体" w:hAnsi="宋体"/>
          <w:b/>
          <w:snapToGrid w:val="0"/>
          <w:sz w:val="24"/>
        </w:rPr>
      </w:pPr>
    </w:p>
    <w:p w14:paraId="378A7365">
      <w:pPr>
        <w:tabs>
          <w:tab w:val="left" w:pos="0"/>
          <w:tab w:val="left" w:pos="993"/>
          <w:tab w:val="left" w:pos="1134"/>
        </w:tabs>
        <w:adjustRightInd w:val="0"/>
        <w:snapToGrid w:val="0"/>
        <w:spacing w:line="360" w:lineRule="auto"/>
        <w:jc w:val="center"/>
        <w:outlineLvl w:val="0"/>
        <w:rPr>
          <w:rFonts w:ascii="宋体" w:hAnsi="宋体"/>
          <w:b/>
          <w:snapToGrid w:val="0"/>
          <w:sz w:val="24"/>
        </w:rPr>
      </w:pPr>
    </w:p>
    <w:p w14:paraId="64A75330">
      <w:pPr>
        <w:pStyle w:val="3"/>
        <w:rPr>
          <w:rFonts w:ascii="宋体" w:hAnsi="宋体"/>
          <w:b/>
          <w:snapToGrid w:val="0"/>
          <w:sz w:val="24"/>
        </w:rPr>
      </w:pPr>
    </w:p>
    <w:p w14:paraId="378674C4">
      <w:pPr>
        <w:rPr>
          <w:rFonts w:ascii="宋体" w:hAnsi="宋体"/>
          <w:b/>
          <w:snapToGrid w:val="0"/>
          <w:sz w:val="24"/>
        </w:rPr>
      </w:pPr>
    </w:p>
    <w:p w14:paraId="7A41B543">
      <w:pPr>
        <w:pStyle w:val="3"/>
        <w:rPr>
          <w:rFonts w:ascii="宋体" w:hAnsi="宋体"/>
          <w:b/>
          <w:snapToGrid w:val="0"/>
          <w:sz w:val="24"/>
        </w:rPr>
      </w:pPr>
    </w:p>
    <w:p w14:paraId="2C099C35">
      <w:pPr>
        <w:rPr>
          <w:rFonts w:ascii="宋体" w:hAnsi="宋体"/>
          <w:b/>
          <w:snapToGrid w:val="0"/>
          <w:sz w:val="24"/>
        </w:rPr>
      </w:pPr>
    </w:p>
    <w:p w14:paraId="2582C7E6">
      <w:pPr>
        <w:pStyle w:val="3"/>
        <w:rPr>
          <w:rFonts w:ascii="宋体" w:hAnsi="宋体"/>
          <w:b/>
          <w:snapToGrid w:val="0"/>
          <w:sz w:val="24"/>
        </w:rPr>
      </w:pPr>
    </w:p>
    <w:p w14:paraId="629F7C36">
      <w:pPr>
        <w:rPr>
          <w:rFonts w:ascii="宋体" w:hAnsi="宋体"/>
          <w:b/>
          <w:snapToGrid w:val="0"/>
          <w:sz w:val="24"/>
        </w:rPr>
      </w:pPr>
    </w:p>
    <w:p w14:paraId="41FE0162">
      <w:pPr>
        <w:pStyle w:val="3"/>
      </w:pPr>
    </w:p>
    <w:p w14:paraId="1905DAC3">
      <w:pPr>
        <w:keepNext w:val="0"/>
        <w:keepLines w:val="0"/>
        <w:pageBreakBefore w:val="0"/>
        <w:kinsoku/>
        <w:wordWrap w:val="0"/>
        <w:overflowPunct/>
        <w:topLinePunct/>
        <w:autoSpaceDE/>
        <w:autoSpaceDN/>
        <w:bidi w:val="0"/>
        <w:adjustRightInd w:val="0"/>
        <w:spacing w:before="120" w:beforeLines="-2147483648" w:beforeAutospacing="0" w:after="0" w:afterLines="-2147483648" w:afterAutospacing="0" w:line="300" w:lineRule="auto"/>
        <w:jc w:val="center"/>
        <w:rPr>
          <w:rFonts w:hint="eastAsia" w:ascii="宋体" w:hAnsi="宋体" w:eastAsia="宋体" w:cs="宋体"/>
          <w:b/>
          <w:color w:val="auto"/>
          <w:kern w:val="0"/>
          <w:sz w:val="28"/>
          <w:szCs w:val="28"/>
          <w:highlight w:val="none"/>
        </w:rPr>
      </w:pPr>
      <w:r>
        <w:rPr>
          <w:rFonts w:hint="eastAsia" w:ascii="宋体" w:hAnsi="宋体"/>
          <w:b/>
          <w:snapToGrid w:val="0"/>
          <w:sz w:val="24"/>
        </w:rPr>
        <w:br w:type="page"/>
      </w:r>
      <w:bookmarkStart w:id="19" w:name="_Toc491507693"/>
      <w:bookmarkStart w:id="20" w:name="_Toc454950473"/>
      <w:bookmarkStart w:id="21" w:name="_Toc455136284"/>
      <w:r>
        <w:rPr>
          <w:rFonts w:hint="eastAsia" w:ascii="宋体" w:hAnsi="宋体" w:eastAsia="宋体" w:cs="宋体"/>
          <w:b/>
          <w:color w:val="auto"/>
          <w:kern w:val="0"/>
          <w:sz w:val="24"/>
          <w:szCs w:val="24"/>
          <w:highlight w:val="none"/>
        </w:rPr>
        <w:t>第一部分 合同协议书</w:t>
      </w:r>
      <w:bookmarkEnd w:id="19"/>
      <w:bookmarkEnd w:id="20"/>
      <w:bookmarkEnd w:id="21"/>
    </w:p>
    <w:p w14:paraId="65ACAF64">
      <w:pPr>
        <w:pageBreakBefore w:val="0"/>
        <w:widowControl w:val="0"/>
        <w:kinsoku/>
        <w:wordWrap/>
        <w:overflowPunct/>
        <w:topLinePunct w:val="0"/>
        <w:bidi w:val="0"/>
        <w:snapToGrid/>
        <w:spacing w:line="360" w:lineRule="exact"/>
        <w:ind w:firstLine="422" w:firstLineChars="200"/>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发包人（全称）：</w:t>
      </w:r>
    </w:p>
    <w:p w14:paraId="735E6A81">
      <w:pPr>
        <w:pageBreakBefore w:val="0"/>
        <w:widowControl w:val="0"/>
        <w:kinsoku/>
        <w:wordWrap/>
        <w:overflowPunct/>
        <w:topLinePunct w:val="0"/>
        <w:bidi w:val="0"/>
        <w:snapToGrid/>
        <w:spacing w:line="360" w:lineRule="exact"/>
        <w:ind w:firstLine="422" w:firstLineChars="200"/>
        <w:jc w:val="left"/>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承包人（全称）：</w:t>
      </w:r>
    </w:p>
    <w:p w14:paraId="1300F3CA">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w:t>
      </w:r>
      <w:r>
        <w:rPr>
          <w:rFonts w:hint="eastAsia" w:ascii="宋体" w:hAnsi="宋体" w:eastAsia="宋体" w:cs="宋体"/>
          <w:color w:val="auto"/>
          <w:sz w:val="21"/>
          <w:szCs w:val="21"/>
          <w:highlight w:val="none"/>
          <w:lang w:val="en-US" w:eastAsia="zh-CN"/>
        </w:rPr>
        <w:t>民法典》《</w:t>
      </w:r>
      <w:r>
        <w:rPr>
          <w:rFonts w:hint="eastAsia" w:ascii="宋体" w:hAnsi="宋体" w:eastAsia="宋体" w:cs="宋体"/>
          <w:color w:val="auto"/>
          <w:sz w:val="21"/>
          <w:szCs w:val="21"/>
          <w:highlight w:val="none"/>
        </w:rPr>
        <w:t>中华人民共和国建筑法》及有关法律规定，遵循平等、自愿、公平和诚实信用的原则，双方就</w:t>
      </w:r>
      <w:r>
        <w:rPr>
          <w:rFonts w:hint="eastAsia" w:ascii="宋体" w:hAnsi="宋体" w:eastAsia="宋体" w:cs="宋体"/>
          <w:color w:val="auto"/>
          <w:sz w:val="21"/>
          <w:szCs w:val="21"/>
          <w:highlight w:val="none"/>
          <w:u w:val="single"/>
          <w:lang w:val="en-US" w:eastAsia="zh-CN"/>
        </w:rPr>
        <w:t xml:space="preserve">           （项目名称）                  </w:t>
      </w:r>
      <w:r>
        <w:rPr>
          <w:rFonts w:hint="eastAsia" w:ascii="宋体" w:hAnsi="宋体" w:eastAsia="宋体" w:cs="宋体"/>
          <w:color w:val="auto"/>
          <w:sz w:val="21"/>
          <w:szCs w:val="21"/>
          <w:highlight w:val="none"/>
        </w:rPr>
        <w:t>及有关事项协商一致，共同达成如下协议：</w:t>
      </w:r>
    </w:p>
    <w:p w14:paraId="48424726">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2" w:name="_Toc51164655"/>
      <w:bookmarkStart w:id="23" w:name="_Toc162"/>
      <w:bookmarkStart w:id="24" w:name="_Toc351203481"/>
      <w:r>
        <w:rPr>
          <w:rFonts w:hint="eastAsia" w:ascii="宋体" w:hAnsi="宋体" w:eastAsia="宋体" w:cs="宋体"/>
          <w:b/>
          <w:color w:val="auto"/>
          <w:kern w:val="0"/>
          <w:sz w:val="21"/>
          <w:szCs w:val="21"/>
          <w:highlight w:val="none"/>
          <w:lang w:val="en-US" w:eastAsia="zh-CN" w:bidi="ar-SA"/>
        </w:rPr>
        <w:t>一、工程概况</w:t>
      </w:r>
      <w:bookmarkEnd w:id="22"/>
      <w:bookmarkEnd w:id="23"/>
      <w:bookmarkEnd w:id="24"/>
    </w:p>
    <w:p w14:paraId="3DC1728C">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bCs/>
          <w:color w:val="auto"/>
          <w:sz w:val="21"/>
          <w:szCs w:val="21"/>
          <w:highlight w:val="none"/>
        </w:rPr>
        <w:t>1.工程名称</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959191A">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2.工程地点：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109BFA92">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.工程内容：</w:t>
      </w:r>
      <w:r>
        <w:rPr>
          <w:rFonts w:hint="eastAsia" w:ascii="宋体" w:hAnsi="宋体" w:eastAsia="宋体" w:cs="宋体"/>
          <w:bCs/>
          <w:color w:val="auto"/>
          <w:sz w:val="21"/>
          <w:szCs w:val="21"/>
          <w:highlight w:val="none"/>
          <w:u w:val="single"/>
        </w:rPr>
        <w:t>详见工程量清单范围</w:t>
      </w:r>
      <w:r>
        <w:rPr>
          <w:rFonts w:hint="eastAsia" w:ascii="宋体" w:hAnsi="宋体" w:eastAsia="宋体" w:cs="宋体"/>
          <w:bCs/>
          <w:color w:val="auto"/>
          <w:sz w:val="21"/>
          <w:szCs w:val="21"/>
          <w:highlight w:val="none"/>
        </w:rPr>
        <w:t>。</w:t>
      </w:r>
    </w:p>
    <w:p w14:paraId="4EDFE286">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群体工程应附《承包人承揽工程项目一览表》（附件1）。</w:t>
      </w:r>
    </w:p>
    <w:p w14:paraId="4244F28A">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.工程承包范围：</w:t>
      </w:r>
      <w:r>
        <w:rPr>
          <w:rFonts w:hint="eastAsia" w:ascii="宋体" w:hAnsi="宋体" w:eastAsia="宋体" w:cs="宋体"/>
          <w:bCs/>
          <w:color w:val="auto"/>
          <w:sz w:val="21"/>
          <w:szCs w:val="21"/>
          <w:highlight w:val="none"/>
          <w:u w:val="single"/>
        </w:rPr>
        <w:t>详见工程量清单范围</w:t>
      </w:r>
      <w:r>
        <w:rPr>
          <w:rFonts w:hint="eastAsia" w:ascii="宋体" w:hAnsi="宋体" w:eastAsia="宋体" w:cs="宋体"/>
          <w:color w:val="auto"/>
          <w:sz w:val="21"/>
          <w:szCs w:val="21"/>
          <w:highlight w:val="none"/>
        </w:rPr>
        <w:t>。</w:t>
      </w:r>
    </w:p>
    <w:p w14:paraId="64BFA26D">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5" w:name="_Toc351203482"/>
      <w:bookmarkStart w:id="26" w:name="_Toc51164656"/>
      <w:bookmarkStart w:id="27" w:name="_Toc23684"/>
      <w:r>
        <w:rPr>
          <w:rFonts w:hint="eastAsia" w:ascii="宋体" w:hAnsi="宋体" w:eastAsia="宋体" w:cs="宋体"/>
          <w:b/>
          <w:color w:val="auto"/>
          <w:kern w:val="0"/>
          <w:sz w:val="21"/>
          <w:szCs w:val="21"/>
          <w:highlight w:val="none"/>
          <w:lang w:val="en-US" w:eastAsia="zh-CN" w:bidi="ar-SA"/>
        </w:rPr>
        <w:t>二、合同工期</w:t>
      </w:r>
      <w:bookmarkEnd w:id="25"/>
      <w:bookmarkEnd w:id="26"/>
      <w:bookmarkEnd w:id="27"/>
    </w:p>
    <w:p w14:paraId="3A966CAB">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计划开工日期：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计划竣工日期：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72067391">
      <w:pPr>
        <w:pageBreakBefore w:val="0"/>
        <w:widowControl w:val="0"/>
        <w:kinsoku/>
        <w:wordWrap/>
        <w:overflowPunct/>
        <w:topLinePunct w:val="0"/>
        <w:bidi w:val="0"/>
        <w:snapToGrid/>
        <w:spacing w:line="36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工期总日历天数：</w:t>
      </w:r>
      <w:r>
        <w:rPr>
          <w:rFonts w:hint="eastAsia" w:ascii="宋体" w:hAnsi="宋体" w:eastAsia="宋体" w:cs="宋体"/>
          <w:bCs/>
          <w:color w:val="0000FF"/>
          <w:sz w:val="21"/>
          <w:szCs w:val="21"/>
          <w:highlight w:val="none"/>
          <w:lang w:val="en-US" w:eastAsia="zh-CN"/>
        </w:rPr>
        <w:t>30</w:t>
      </w:r>
      <w:r>
        <w:rPr>
          <w:rFonts w:hint="eastAsia" w:ascii="宋体" w:hAnsi="宋体" w:eastAsia="宋体" w:cs="宋体"/>
          <w:color w:val="0000FF"/>
          <w:sz w:val="21"/>
          <w:szCs w:val="21"/>
          <w:highlight w:val="none"/>
          <w:lang w:val="en-US" w:eastAsia="zh-CN"/>
        </w:rPr>
        <w:t>日历天（以开工令为准）</w:t>
      </w:r>
      <w:r>
        <w:rPr>
          <w:rFonts w:hint="eastAsia" w:ascii="宋体" w:hAnsi="宋体" w:eastAsia="宋体" w:cs="宋体"/>
          <w:color w:val="auto"/>
          <w:sz w:val="21"/>
          <w:szCs w:val="21"/>
          <w:highlight w:val="none"/>
        </w:rPr>
        <w:t>。工期总日历天数与根据前述计划开竣工日期计算的工期天数不一致的，以工期总日历天数为准。</w:t>
      </w:r>
    </w:p>
    <w:p w14:paraId="36515DB3">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8" w:name="_Toc18959"/>
      <w:bookmarkStart w:id="29" w:name="_Toc51164657"/>
      <w:bookmarkStart w:id="30" w:name="_Toc351203483"/>
      <w:r>
        <w:rPr>
          <w:rFonts w:hint="eastAsia" w:ascii="宋体" w:hAnsi="宋体" w:eastAsia="宋体" w:cs="宋体"/>
          <w:b/>
          <w:color w:val="auto"/>
          <w:kern w:val="0"/>
          <w:sz w:val="21"/>
          <w:szCs w:val="21"/>
          <w:highlight w:val="none"/>
          <w:lang w:val="en-US" w:eastAsia="zh-CN" w:bidi="ar-SA"/>
        </w:rPr>
        <w:t>三、质量标准</w:t>
      </w:r>
      <w:bookmarkEnd w:id="28"/>
      <w:bookmarkEnd w:id="29"/>
      <w:bookmarkEnd w:id="30"/>
    </w:p>
    <w:p w14:paraId="5671FF60">
      <w:pPr>
        <w:pageBreakBefore w:val="0"/>
        <w:widowControl w:val="0"/>
        <w:kinsoku/>
        <w:wordWrap/>
        <w:overflowPunct/>
        <w:topLinePunct w:val="0"/>
        <w:bidi w:val="0"/>
        <w:snapToGrid/>
        <w:spacing w:line="360" w:lineRule="exact"/>
        <w:ind w:firstLine="459"/>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工程质量符合</w:t>
      </w:r>
      <w:r>
        <w:rPr>
          <w:rFonts w:hint="eastAsia" w:ascii="宋体" w:hAnsi="宋体" w:eastAsia="宋体" w:cs="宋体"/>
          <w:bCs/>
          <w:color w:val="auto"/>
          <w:sz w:val="21"/>
          <w:szCs w:val="21"/>
          <w:highlight w:val="none"/>
        </w:rPr>
        <w:t>合格</w:t>
      </w:r>
      <w:r>
        <w:rPr>
          <w:rFonts w:hint="eastAsia" w:ascii="宋体" w:hAnsi="宋体" w:eastAsia="宋体" w:cs="宋体"/>
          <w:color w:val="auto"/>
          <w:sz w:val="21"/>
          <w:szCs w:val="21"/>
          <w:highlight w:val="none"/>
        </w:rPr>
        <w:t>标准。</w:t>
      </w:r>
    </w:p>
    <w:p w14:paraId="4501DFD0">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31" w:name="_Toc14536"/>
      <w:bookmarkStart w:id="32" w:name="_Toc51164658"/>
      <w:bookmarkStart w:id="33" w:name="_Toc351203484"/>
      <w:r>
        <w:rPr>
          <w:rFonts w:hint="eastAsia" w:ascii="宋体" w:hAnsi="宋体" w:eastAsia="宋体" w:cs="宋体"/>
          <w:b/>
          <w:color w:val="auto"/>
          <w:kern w:val="0"/>
          <w:sz w:val="21"/>
          <w:szCs w:val="21"/>
          <w:highlight w:val="none"/>
          <w:lang w:val="en-US" w:eastAsia="zh-CN" w:bidi="ar-SA"/>
        </w:rPr>
        <w:t>四、签约合同价与合同价格形式</w:t>
      </w:r>
      <w:bookmarkEnd w:id="31"/>
      <w:bookmarkEnd w:id="32"/>
      <w:bookmarkEnd w:id="33"/>
    </w:p>
    <w:p w14:paraId="317DFEF9">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14:paraId="51F2D854">
      <w:pPr>
        <w:pageBreakBefore w:val="0"/>
        <w:widowControl w:val="0"/>
        <w:kinsoku/>
        <w:wordWrap/>
        <w:overflowPunct/>
        <w:topLinePunct w:val="0"/>
        <w:bidi w:val="0"/>
        <w:snapToGrid/>
        <w:spacing w:line="360" w:lineRule="exact"/>
        <w:ind w:firstLine="525" w:firstLineChars="2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元)；</w:t>
      </w:r>
    </w:p>
    <w:p w14:paraId="7D900292">
      <w:pPr>
        <w:pageBreakBefore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bookmarkStart w:id="34" w:name="_Toc351203485"/>
      <w:bookmarkStart w:id="35" w:name="_Toc21951"/>
      <w:bookmarkStart w:id="36" w:name="_Toc51164659"/>
      <w:r>
        <w:rPr>
          <w:rFonts w:hint="eastAsia" w:ascii="宋体" w:hAnsi="宋体" w:eastAsia="宋体" w:cs="宋体"/>
          <w:color w:val="auto"/>
          <w:sz w:val="21"/>
          <w:szCs w:val="21"/>
          <w:highlight w:val="none"/>
        </w:rPr>
        <w:t>其中：</w:t>
      </w:r>
    </w:p>
    <w:p w14:paraId="6796EA61">
      <w:pPr>
        <w:pageBreakBefore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14:paraId="55BF3650">
      <w:pPr>
        <w:keepNext w:val="0"/>
        <w:keepLines w:val="0"/>
        <w:pageBreakBefore w:val="0"/>
        <w:widowControl/>
        <w:suppressLineNumbers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元)；</w:t>
      </w:r>
    </w:p>
    <w:p w14:paraId="3566C7FF">
      <w:pPr>
        <w:pageBreakBefore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）暂列金额：</w:t>
      </w:r>
    </w:p>
    <w:p w14:paraId="168AAD92">
      <w:pPr>
        <w:keepNext w:val="0"/>
        <w:keepLines w:val="0"/>
        <w:pageBreakBefore w:val="0"/>
        <w:widowControl/>
        <w:suppressLineNumbers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w:t>
      </w:r>
      <w:r>
        <w:rPr>
          <w:rFonts w:hint="eastAsia" w:ascii="宋体" w:hAnsi="宋体" w:eastAsia="宋体" w:cs="宋体"/>
          <w:color w:val="auto"/>
          <w:sz w:val="21"/>
          <w:szCs w:val="21"/>
          <w:highlight w:val="none"/>
        </w:rPr>
        <w:t>)。</w:t>
      </w:r>
    </w:p>
    <w:p w14:paraId="5BE0C30A">
      <w:pPr>
        <w:pageBreakBefore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2.合同价格形式：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78D3889">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五、</w:t>
      </w:r>
      <w:bookmarkEnd w:id="34"/>
      <w:r>
        <w:rPr>
          <w:rFonts w:hint="eastAsia" w:ascii="宋体" w:hAnsi="宋体" w:eastAsia="宋体" w:cs="宋体"/>
          <w:b/>
          <w:color w:val="auto"/>
          <w:kern w:val="0"/>
          <w:sz w:val="21"/>
          <w:szCs w:val="21"/>
          <w:highlight w:val="none"/>
          <w:lang w:val="en-US" w:eastAsia="zh-CN" w:bidi="ar-SA"/>
        </w:rPr>
        <w:t>项目经理</w:t>
      </w:r>
      <w:bookmarkEnd w:id="35"/>
      <w:bookmarkEnd w:id="36"/>
    </w:p>
    <w:p w14:paraId="360973FF">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承包人项目经理：</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496F6A41">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37" w:name="_Toc351203486"/>
      <w:bookmarkStart w:id="38" w:name="_Toc21987"/>
      <w:bookmarkStart w:id="39" w:name="_Toc51164660"/>
      <w:r>
        <w:rPr>
          <w:rFonts w:hint="eastAsia" w:ascii="宋体" w:hAnsi="宋体" w:eastAsia="宋体" w:cs="宋体"/>
          <w:b/>
          <w:color w:val="auto"/>
          <w:kern w:val="0"/>
          <w:sz w:val="21"/>
          <w:szCs w:val="21"/>
          <w:highlight w:val="none"/>
          <w:lang w:val="en-US" w:eastAsia="zh-CN" w:bidi="ar-SA"/>
        </w:rPr>
        <w:t>六、合同文件构成</w:t>
      </w:r>
      <w:bookmarkEnd w:id="37"/>
      <w:bookmarkEnd w:id="38"/>
      <w:bookmarkEnd w:id="39"/>
    </w:p>
    <w:p w14:paraId="1E8F0F3C">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本协议书与下列文件一起构成合同文件：</w:t>
      </w:r>
    </w:p>
    <w:p w14:paraId="66B84032">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（1）中标通知书；</w:t>
      </w:r>
    </w:p>
    <w:p w14:paraId="1295359E">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 xml:space="preserve">函及其附录； </w:t>
      </w:r>
    </w:p>
    <w:p w14:paraId="723DE1B9">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（3）专用合同条款及其附件；</w:t>
      </w:r>
    </w:p>
    <w:p w14:paraId="70490C58">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（4）通用合同条款；</w:t>
      </w:r>
    </w:p>
    <w:p w14:paraId="3EEF09FE">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（5）技术标准和要求；</w:t>
      </w:r>
    </w:p>
    <w:p w14:paraId="4BF144D4">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（6）图纸</w:t>
      </w:r>
      <w:r>
        <w:rPr>
          <w:rFonts w:hint="eastAsia" w:ascii="宋体" w:hAnsi="宋体" w:eastAsia="宋体" w:cs="宋体"/>
          <w:color w:val="0000FF"/>
          <w:sz w:val="21"/>
          <w:szCs w:val="21"/>
          <w:highlight w:val="none"/>
          <w:lang w:eastAsia="zh-CN"/>
        </w:rPr>
        <w:t>（</w:t>
      </w:r>
      <w:r>
        <w:rPr>
          <w:rFonts w:hint="eastAsia" w:ascii="宋体" w:hAnsi="宋体" w:eastAsia="宋体" w:cs="宋体"/>
          <w:color w:val="0000FF"/>
          <w:sz w:val="21"/>
          <w:szCs w:val="21"/>
          <w:highlight w:val="none"/>
          <w:lang w:val="en-US" w:eastAsia="zh-CN"/>
        </w:rPr>
        <w:t>如有</w:t>
      </w:r>
      <w:r>
        <w:rPr>
          <w:rFonts w:hint="eastAsia" w:ascii="宋体" w:hAnsi="宋体" w:eastAsia="宋体" w:cs="宋体"/>
          <w:color w:val="0000FF"/>
          <w:sz w:val="21"/>
          <w:szCs w:val="21"/>
          <w:highlight w:val="none"/>
          <w:lang w:eastAsia="zh-CN"/>
        </w:rPr>
        <w:t>）</w:t>
      </w:r>
      <w:r>
        <w:rPr>
          <w:rFonts w:hint="eastAsia" w:ascii="宋体" w:hAnsi="宋体" w:eastAsia="宋体" w:cs="宋体"/>
          <w:color w:val="auto"/>
          <w:sz w:val="21"/>
          <w:szCs w:val="21"/>
          <w:highlight w:val="none"/>
        </w:rPr>
        <w:t>；</w:t>
      </w:r>
    </w:p>
    <w:p w14:paraId="37C353D8">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（7）已标价工程量清单或预算书；</w:t>
      </w:r>
    </w:p>
    <w:p w14:paraId="031A68F9">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（8）其他合同文件。</w:t>
      </w:r>
    </w:p>
    <w:p w14:paraId="331E02EC">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在合同订立及履行过程中形成的与合同有关的文件均构成合同文件组成部分。</w:t>
      </w:r>
    </w:p>
    <w:p w14:paraId="61BEAB55">
      <w:pPr>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75F7F244">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40" w:name="_Toc22793"/>
      <w:bookmarkStart w:id="41" w:name="_Toc351203487"/>
      <w:bookmarkStart w:id="42" w:name="_Toc51164661"/>
      <w:r>
        <w:rPr>
          <w:rFonts w:hint="eastAsia" w:ascii="宋体" w:hAnsi="宋体" w:eastAsia="宋体" w:cs="宋体"/>
          <w:b/>
          <w:color w:val="auto"/>
          <w:kern w:val="0"/>
          <w:sz w:val="21"/>
          <w:szCs w:val="21"/>
          <w:highlight w:val="none"/>
          <w:lang w:val="en-US" w:eastAsia="zh-CN" w:bidi="ar-SA"/>
        </w:rPr>
        <w:t>七、承诺</w:t>
      </w:r>
      <w:bookmarkEnd w:id="40"/>
      <w:bookmarkEnd w:id="41"/>
      <w:bookmarkEnd w:id="42"/>
    </w:p>
    <w:p w14:paraId="182E2B5F">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1.发包人承诺按照法律规定履行项目审批手续、筹集工程建设资金并按照合同约定的期限和方式支付合同价款。</w:t>
      </w:r>
    </w:p>
    <w:p w14:paraId="05DDABBE">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2.承包人承诺按照法律规定及合同约定组织完成工程施工，确保工程质量和安全，不进行转包及违法分包，并在缺陷责任期及保修期内承担相应的工程维修责任。</w:t>
      </w:r>
    </w:p>
    <w:p w14:paraId="276E9064">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3.发包人和承包人通过招</w:t>
      </w:r>
      <w:r>
        <w:rPr>
          <w:rFonts w:hint="eastAsia" w:ascii="宋体" w:hAnsi="宋体" w:eastAsia="宋体" w:cs="宋体"/>
          <w:bCs/>
          <w:color w:val="auto"/>
          <w:sz w:val="21"/>
          <w:szCs w:val="21"/>
          <w:highlight w:val="none"/>
          <w:lang w:eastAsia="zh-CN"/>
        </w:rPr>
        <w:t>投标</w:t>
      </w:r>
      <w:r>
        <w:rPr>
          <w:rFonts w:hint="eastAsia" w:ascii="宋体" w:hAnsi="宋体" w:eastAsia="宋体" w:cs="宋体"/>
          <w:bCs/>
          <w:color w:val="auto"/>
          <w:sz w:val="21"/>
          <w:szCs w:val="21"/>
          <w:highlight w:val="none"/>
        </w:rPr>
        <w:t>形式签订合同的，双方理解并承诺不再就同一工程另行签订与合同实质性内容相背离的协议。</w:t>
      </w:r>
    </w:p>
    <w:p w14:paraId="432BC3C5">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43" w:name="_Toc351203488"/>
      <w:bookmarkStart w:id="44" w:name="_Toc51164662"/>
      <w:bookmarkStart w:id="45" w:name="_Toc27351"/>
      <w:r>
        <w:rPr>
          <w:rFonts w:hint="eastAsia" w:ascii="宋体" w:hAnsi="宋体" w:eastAsia="宋体" w:cs="宋体"/>
          <w:b/>
          <w:color w:val="auto"/>
          <w:kern w:val="0"/>
          <w:sz w:val="21"/>
          <w:szCs w:val="21"/>
          <w:highlight w:val="none"/>
          <w:lang w:val="en-US" w:eastAsia="zh-CN" w:bidi="ar-SA"/>
        </w:rPr>
        <w:t>八、词语含义</w:t>
      </w:r>
      <w:bookmarkEnd w:id="43"/>
      <w:bookmarkEnd w:id="44"/>
      <w:bookmarkEnd w:id="45"/>
    </w:p>
    <w:p w14:paraId="6B24E50B">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本协议书中词语含义与第二部分通用合同条款中赋予的含义相同。</w:t>
      </w:r>
    </w:p>
    <w:p w14:paraId="4EDEAB33">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46" w:name="_Toc351203489"/>
      <w:bookmarkStart w:id="47" w:name="_Toc51164663"/>
      <w:bookmarkStart w:id="48" w:name="_Toc12771"/>
      <w:r>
        <w:rPr>
          <w:rFonts w:hint="eastAsia" w:ascii="宋体" w:hAnsi="宋体" w:eastAsia="宋体" w:cs="宋体"/>
          <w:b/>
          <w:color w:val="auto"/>
          <w:kern w:val="0"/>
          <w:sz w:val="21"/>
          <w:szCs w:val="21"/>
          <w:highlight w:val="none"/>
          <w:lang w:val="en-US" w:eastAsia="zh-CN" w:bidi="ar-SA"/>
        </w:rPr>
        <w:t>九、签订时间</w:t>
      </w:r>
      <w:bookmarkEnd w:id="46"/>
      <w:bookmarkEnd w:id="47"/>
      <w:bookmarkEnd w:id="48"/>
    </w:p>
    <w:p w14:paraId="38BD6BCC">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本合同于签订</w:t>
      </w:r>
      <w:r>
        <w:rPr>
          <w:rFonts w:hint="eastAsia" w:ascii="宋体" w:hAnsi="宋体" w:eastAsia="宋体" w:cs="宋体"/>
          <w:bCs/>
          <w:color w:val="auto"/>
          <w:sz w:val="21"/>
          <w:szCs w:val="21"/>
          <w:highlight w:val="none"/>
          <w:u w:val="single"/>
          <w:lang w:val="en-US" w:eastAsia="zh-CN"/>
        </w:rPr>
        <w:t xml:space="preserve">      年   月   日</w:t>
      </w:r>
      <w:r>
        <w:rPr>
          <w:rFonts w:hint="eastAsia" w:ascii="宋体" w:hAnsi="宋体" w:eastAsia="宋体" w:cs="宋体"/>
          <w:bCs/>
          <w:color w:val="auto"/>
          <w:sz w:val="21"/>
          <w:szCs w:val="21"/>
          <w:highlight w:val="none"/>
        </w:rPr>
        <w:t>。</w:t>
      </w:r>
    </w:p>
    <w:p w14:paraId="2081DBCA">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49" w:name="_Toc15562"/>
      <w:bookmarkStart w:id="50" w:name="_Toc51164664"/>
      <w:bookmarkStart w:id="51" w:name="_Toc351203490"/>
      <w:r>
        <w:rPr>
          <w:rFonts w:hint="eastAsia" w:ascii="宋体" w:hAnsi="宋体" w:eastAsia="宋体" w:cs="宋体"/>
          <w:b/>
          <w:color w:val="auto"/>
          <w:kern w:val="0"/>
          <w:sz w:val="21"/>
          <w:szCs w:val="21"/>
          <w:highlight w:val="none"/>
          <w:lang w:val="en-US" w:eastAsia="zh-CN" w:bidi="ar-SA"/>
        </w:rPr>
        <w:t>十、签订地点</w:t>
      </w:r>
      <w:bookmarkEnd w:id="49"/>
      <w:bookmarkEnd w:id="50"/>
      <w:bookmarkEnd w:id="51"/>
    </w:p>
    <w:p w14:paraId="4E0EC70E">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本合同在签订</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w:t>
      </w:r>
    </w:p>
    <w:p w14:paraId="7094BB7F">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2" w:name="_Toc51164665"/>
      <w:bookmarkStart w:id="53" w:name="_Toc351203491"/>
      <w:bookmarkStart w:id="54" w:name="_Toc15264"/>
      <w:r>
        <w:rPr>
          <w:rFonts w:hint="eastAsia" w:ascii="宋体" w:hAnsi="宋体" w:eastAsia="宋体" w:cs="宋体"/>
          <w:b/>
          <w:color w:val="auto"/>
          <w:kern w:val="0"/>
          <w:sz w:val="21"/>
          <w:szCs w:val="21"/>
          <w:highlight w:val="none"/>
          <w:lang w:val="en-US" w:eastAsia="zh-CN" w:bidi="ar-SA"/>
        </w:rPr>
        <w:t>十一、补充协议</w:t>
      </w:r>
      <w:bookmarkEnd w:id="52"/>
      <w:bookmarkEnd w:id="53"/>
      <w:bookmarkEnd w:id="54"/>
    </w:p>
    <w:p w14:paraId="29AEB28B">
      <w:pPr>
        <w:pageBreakBefore w:val="0"/>
        <w:widowControl w:val="0"/>
        <w:kinsoku/>
        <w:wordWrap/>
        <w:overflowPunct/>
        <w:topLinePunct w:val="0"/>
        <w:bidi w:val="0"/>
        <w:snapToGrid/>
        <w:spacing w:line="360" w:lineRule="exact"/>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Cs/>
          <w:color w:val="auto"/>
          <w:sz w:val="21"/>
          <w:szCs w:val="21"/>
          <w:highlight w:val="none"/>
        </w:rPr>
        <w:t>合同未尽事宜，合同当事人另行签订补充协议，补充协议是合同的组成部分。</w:t>
      </w:r>
    </w:p>
    <w:p w14:paraId="221C800A">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5" w:name="_Toc51164666"/>
      <w:bookmarkStart w:id="56" w:name="_Toc24939"/>
      <w:bookmarkStart w:id="57" w:name="_Toc351203492"/>
      <w:r>
        <w:rPr>
          <w:rFonts w:hint="eastAsia" w:ascii="宋体" w:hAnsi="宋体" w:eastAsia="宋体" w:cs="宋体"/>
          <w:b/>
          <w:color w:val="auto"/>
          <w:kern w:val="0"/>
          <w:sz w:val="21"/>
          <w:szCs w:val="21"/>
          <w:highlight w:val="none"/>
          <w:lang w:val="en-US" w:eastAsia="zh-CN" w:bidi="ar-SA"/>
        </w:rPr>
        <w:t>十二、合同生效</w:t>
      </w:r>
      <w:bookmarkEnd w:id="55"/>
      <w:bookmarkEnd w:id="56"/>
      <w:bookmarkEnd w:id="57"/>
    </w:p>
    <w:p w14:paraId="4763C184">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本合同自</w:t>
      </w:r>
      <w:r>
        <w:rPr>
          <w:rFonts w:hint="eastAsia" w:ascii="宋体" w:hAnsi="宋体" w:eastAsia="宋体" w:cs="宋体"/>
          <w:color w:val="auto"/>
          <w:sz w:val="21"/>
          <w:szCs w:val="21"/>
          <w:highlight w:val="none"/>
        </w:rPr>
        <w:t>除法律另有规定或合同另有约定外，发包人和承包人的法定代表人或其委托代理 人在合同协议书上签字并盖单位章后</w:t>
      </w:r>
      <w:r>
        <w:rPr>
          <w:rFonts w:hint="eastAsia" w:ascii="宋体" w:hAnsi="宋体" w:eastAsia="宋体" w:cs="宋体"/>
          <w:bCs/>
          <w:color w:val="auto"/>
          <w:sz w:val="21"/>
          <w:szCs w:val="21"/>
          <w:highlight w:val="none"/>
        </w:rPr>
        <w:t>生效。</w:t>
      </w:r>
    </w:p>
    <w:p w14:paraId="7BA05829">
      <w:pPr>
        <w:keepNext/>
        <w:keepLines/>
        <w:pageBreakBefore w:val="0"/>
        <w:widowControl w:val="0"/>
        <w:kinsoku/>
        <w:wordWrap/>
        <w:overflowPunct/>
        <w:topLinePunct w:val="0"/>
        <w:autoSpaceDE w:val="0"/>
        <w:autoSpaceDN w:val="0"/>
        <w:bidi w:val="0"/>
        <w:adjustRightInd w:val="0"/>
        <w:snapToGrid/>
        <w:spacing w:before="0" w:line="36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8" w:name="_Toc51164667"/>
      <w:bookmarkStart w:id="59" w:name="_Toc18002"/>
      <w:bookmarkStart w:id="60" w:name="_Toc351203493"/>
      <w:r>
        <w:rPr>
          <w:rFonts w:hint="eastAsia" w:ascii="宋体" w:hAnsi="宋体" w:eastAsia="宋体" w:cs="宋体"/>
          <w:b/>
          <w:color w:val="auto"/>
          <w:kern w:val="0"/>
          <w:sz w:val="21"/>
          <w:szCs w:val="21"/>
          <w:highlight w:val="none"/>
          <w:lang w:val="en-US" w:eastAsia="zh-CN" w:bidi="ar-SA"/>
        </w:rPr>
        <w:t>十三、合同份数</w:t>
      </w:r>
      <w:bookmarkEnd w:id="58"/>
      <w:bookmarkEnd w:id="59"/>
      <w:bookmarkEnd w:id="60"/>
    </w:p>
    <w:p w14:paraId="5CA47D93">
      <w:pPr>
        <w:pageBreakBefore w:val="0"/>
        <w:widowControl w:val="0"/>
        <w:kinsoku/>
        <w:wordWrap/>
        <w:overflowPunct/>
        <w:topLinePunct w:val="0"/>
        <w:bidi w:val="0"/>
        <w:snapToGrid/>
        <w:spacing w:line="36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本合同一式</w:t>
      </w:r>
      <w:r>
        <w:rPr>
          <w:rFonts w:hint="eastAsia" w:ascii="宋体" w:hAnsi="宋体" w:eastAsia="宋体" w:cs="宋体"/>
          <w:color w:val="auto"/>
          <w:sz w:val="21"/>
          <w:szCs w:val="21"/>
          <w:highlight w:val="none"/>
          <w:lang w:val="en-US" w:eastAsia="zh-CN"/>
        </w:rPr>
        <w:t>陆</w:t>
      </w:r>
      <w:r>
        <w:rPr>
          <w:rFonts w:hint="eastAsia" w:ascii="宋体" w:hAnsi="宋体" w:eastAsia="宋体" w:cs="宋体"/>
          <w:bCs/>
          <w:color w:val="auto"/>
          <w:sz w:val="21"/>
          <w:szCs w:val="21"/>
          <w:highlight w:val="none"/>
        </w:rPr>
        <w:t>份，均具有同等法律效力，发包人执</w:t>
      </w:r>
      <w:r>
        <w:rPr>
          <w:rFonts w:hint="eastAsia" w:ascii="宋体" w:hAnsi="宋体" w:eastAsia="宋体" w:cs="宋体"/>
          <w:color w:val="auto"/>
          <w:sz w:val="21"/>
          <w:szCs w:val="21"/>
          <w:highlight w:val="none"/>
          <w:lang w:val="en-US" w:eastAsia="zh-CN"/>
        </w:rPr>
        <w:t>叁</w:t>
      </w:r>
      <w:r>
        <w:rPr>
          <w:rFonts w:hint="eastAsia" w:ascii="宋体" w:hAnsi="宋体" w:eastAsia="宋体" w:cs="宋体"/>
          <w:bCs/>
          <w:color w:val="auto"/>
          <w:sz w:val="21"/>
          <w:szCs w:val="21"/>
          <w:highlight w:val="none"/>
        </w:rPr>
        <w:t>份，承包人执</w:t>
      </w:r>
      <w:r>
        <w:rPr>
          <w:rFonts w:hint="eastAsia" w:ascii="宋体" w:hAnsi="宋体" w:eastAsia="宋体" w:cs="宋体"/>
          <w:color w:val="auto"/>
          <w:sz w:val="21"/>
          <w:szCs w:val="21"/>
          <w:highlight w:val="none"/>
          <w:lang w:val="en-US" w:eastAsia="zh-CN"/>
        </w:rPr>
        <w:t>贰</w:t>
      </w:r>
      <w:r>
        <w:rPr>
          <w:rFonts w:hint="eastAsia" w:ascii="宋体" w:hAnsi="宋体" w:eastAsia="宋体" w:cs="宋体"/>
          <w:bCs/>
          <w:color w:val="auto"/>
          <w:sz w:val="21"/>
          <w:szCs w:val="21"/>
          <w:highlight w:val="none"/>
        </w:rPr>
        <w:t>份</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代理机构执壹份</w:t>
      </w:r>
      <w:r>
        <w:rPr>
          <w:rFonts w:hint="eastAsia" w:ascii="宋体" w:hAnsi="宋体" w:eastAsia="宋体" w:cs="宋体"/>
          <w:bCs/>
          <w:color w:val="auto"/>
          <w:sz w:val="21"/>
          <w:szCs w:val="21"/>
          <w:highlight w:val="none"/>
        </w:rPr>
        <w:t>。</w:t>
      </w:r>
    </w:p>
    <w:p w14:paraId="02B53AB5">
      <w:pPr>
        <w:pageBreakBefore w:val="0"/>
        <w:widowControl w:val="0"/>
        <w:kinsoku/>
        <w:wordWrap/>
        <w:overflowPunct/>
        <w:topLinePunct w:val="0"/>
        <w:bidi w:val="0"/>
        <w:snapToGrid/>
        <w:spacing w:line="360" w:lineRule="exact"/>
        <w:ind w:firstLine="420" w:firstLineChars="200"/>
        <w:jc w:val="both"/>
        <w:textAlignment w:val="auto"/>
        <w:rPr>
          <w:rFonts w:hint="eastAsia" w:ascii="宋体" w:hAnsi="宋体" w:eastAsia="宋体" w:cs="宋体"/>
          <w:kern w:val="2"/>
          <w:sz w:val="21"/>
          <w:szCs w:val="21"/>
          <w:lang w:val="zh-CN" w:eastAsia="zh-CN" w:bidi="ar-SA"/>
        </w:rPr>
      </w:pPr>
    </w:p>
    <w:tbl>
      <w:tblPr>
        <w:tblStyle w:val="13"/>
        <w:tblW w:w="9282" w:type="dxa"/>
        <w:jc w:val="center"/>
        <w:tblLayout w:type="fixed"/>
        <w:tblCellMar>
          <w:top w:w="0" w:type="dxa"/>
          <w:left w:w="108" w:type="dxa"/>
          <w:bottom w:w="0" w:type="dxa"/>
          <w:right w:w="108" w:type="dxa"/>
        </w:tblCellMar>
      </w:tblPr>
      <w:tblGrid>
        <w:gridCol w:w="4647"/>
        <w:gridCol w:w="4635"/>
      </w:tblGrid>
      <w:tr w14:paraId="652B7866">
        <w:tblPrEx>
          <w:tblCellMar>
            <w:top w:w="0" w:type="dxa"/>
            <w:left w:w="108" w:type="dxa"/>
            <w:bottom w:w="0" w:type="dxa"/>
            <w:right w:w="108" w:type="dxa"/>
          </w:tblCellMar>
        </w:tblPrEx>
        <w:trPr>
          <w:jc w:val="center"/>
        </w:trPr>
        <w:tc>
          <w:tcPr>
            <w:tcW w:w="4647" w:type="dxa"/>
            <w:noWrap w:val="0"/>
            <w:vAlign w:val="top"/>
          </w:tcPr>
          <w:p w14:paraId="5F1DA75D">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发包人：(公章)</w:t>
            </w:r>
          </w:p>
        </w:tc>
        <w:tc>
          <w:tcPr>
            <w:tcW w:w="4635" w:type="dxa"/>
            <w:noWrap w:val="0"/>
            <w:vAlign w:val="top"/>
          </w:tcPr>
          <w:p w14:paraId="6CA53E5C">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承包人：(公章)</w:t>
            </w:r>
          </w:p>
        </w:tc>
      </w:tr>
      <w:tr w14:paraId="5422BA36">
        <w:tblPrEx>
          <w:tblCellMar>
            <w:top w:w="0" w:type="dxa"/>
            <w:left w:w="108" w:type="dxa"/>
            <w:bottom w:w="0" w:type="dxa"/>
            <w:right w:w="108" w:type="dxa"/>
          </w:tblCellMar>
        </w:tblPrEx>
        <w:trPr>
          <w:jc w:val="center"/>
        </w:trPr>
        <w:tc>
          <w:tcPr>
            <w:tcW w:w="4647" w:type="dxa"/>
            <w:noWrap w:val="0"/>
            <w:vAlign w:val="top"/>
          </w:tcPr>
          <w:p w14:paraId="2786B6B0">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w:t>
            </w:r>
          </w:p>
          <w:p w14:paraId="3DC59795">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eastAsia="zh-CN"/>
              </w:rPr>
              <w:t>或盖章</w:t>
            </w:r>
            <w:r>
              <w:rPr>
                <w:rFonts w:hint="eastAsia" w:ascii="宋体" w:hAnsi="宋体" w:eastAsia="宋体" w:cs="宋体"/>
                <w:color w:val="auto"/>
                <w:sz w:val="21"/>
                <w:szCs w:val="21"/>
                <w:highlight w:val="none"/>
              </w:rPr>
              <w:t>）：</w:t>
            </w:r>
          </w:p>
        </w:tc>
        <w:tc>
          <w:tcPr>
            <w:tcW w:w="4635" w:type="dxa"/>
            <w:noWrap w:val="0"/>
            <w:vAlign w:val="top"/>
          </w:tcPr>
          <w:p w14:paraId="112D538C">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w:t>
            </w:r>
          </w:p>
          <w:p w14:paraId="059314B2">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eastAsia="zh-CN"/>
              </w:rPr>
              <w:t>或盖章</w:t>
            </w:r>
            <w:r>
              <w:rPr>
                <w:rFonts w:hint="eastAsia" w:ascii="宋体" w:hAnsi="宋体" w:eastAsia="宋体" w:cs="宋体"/>
                <w:color w:val="auto"/>
                <w:sz w:val="21"/>
                <w:szCs w:val="21"/>
                <w:highlight w:val="none"/>
              </w:rPr>
              <w:t>）：</w:t>
            </w:r>
          </w:p>
        </w:tc>
      </w:tr>
      <w:tr w14:paraId="28F1C170">
        <w:tblPrEx>
          <w:tblCellMar>
            <w:top w:w="0" w:type="dxa"/>
            <w:left w:w="108" w:type="dxa"/>
            <w:bottom w:w="0" w:type="dxa"/>
            <w:right w:w="108" w:type="dxa"/>
          </w:tblCellMar>
        </w:tblPrEx>
        <w:trPr>
          <w:jc w:val="center"/>
        </w:trPr>
        <w:tc>
          <w:tcPr>
            <w:tcW w:w="4647" w:type="dxa"/>
            <w:noWrap w:val="0"/>
            <w:vAlign w:val="top"/>
          </w:tcPr>
          <w:p w14:paraId="7F818B52">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组织机构代码：</w:t>
            </w:r>
          </w:p>
        </w:tc>
        <w:tc>
          <w:tcPr>
            <w:tcW w:w="4635" w:type="dxa"/>
            <w:noWrap w:val="0"/>
            <w:vAlign w:val="top"/>
          </w:tcPr>
          <w:p w14:paraId="4BBE2D5A">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组织机构代码：</w:t>
            </w:r>
          </w:p>
        </w:tc>
      </w:tr>
      <w:tr w14:paraId="5E7E3E2A">
        <w:tblPrEx>
          <w:tblCellMar>
            <w:top w:w="0" w:type="dxa"/>
            <w:left w:w="108" w:type="dxa"/>
            <w:bottom w:w="0" w:type="dxa"/>
            <w:right w:w="108" w:type="dxa"/>
          </w:tblCellMar>
        </w:tblPrEx>
        <w:trPr>
          <w:jc w:val="center"/>
        </w:trPr>
        <w:tc>
          <w:tcPr>
            <w:tcW w:w="4647" w:type="dxa"/>
            <w:noWrap w:val="0"/>
            <w:vAlign w:val="top"/>
          </w:tcPr>
          <w:p w14:paraId="70D7902A">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p>
        </w:tc>
        <w:tc>
          <w:tcPr>
            <w:tcW w:w="4635" w:type="dxa"/>
            <w:noWrap w:val="0"/>
            <w:vAlign w:val="top"/>
          </w:tcPr>
          <w:p w14:paraId="5C7E29AB">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p>
        </w:tc>
      </w:tr>
      <w:tr w14:paraId="1A370F57">
        <w:tblPrEx>
          <w:tblCellMar>
            <w:top w:w="0" w:type="dxa"/>
            <w:left w:w="108" w:type="dxa"/>
            <w:bottom w:w="0" w:type="dxa"/>
            <w:right w:w="108" w:type="dxa"/>
          </w:tblCellMar>
        </w:tblPrEx>
        <w:trPr>
          <w:jc w:val="center"/>
        </w:trPr>
        <w:tc>
          <w:tcPr>
            <w:tcW w:w="4647" w:type="dxa"/>
            <w:noWrap w:val="0"/>
            <w:vAlign w:val="top"/>
          </w:tcPr>
          <w:p w14:paraId="39D7EFD6">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4635" w:type="dxa"/>
            <w:noWrap w:val="0"/>
            <w:vAlign w:val="top"/>
          </w:tcPr>
          <w:p w14:paraId="7D258CCE">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r>
      <w:tr w14:paraId="1945DFF4">
        <w:tblPrEx>
          <w:tblCellMar>
            <w:top w:w="0" w:type="dxa"/>
            <w:left w:w="108" w:type="dxa"/>
            <w:bottom w:w="0" w:type="dxa"/>
            <w:right w:w="108" w:type="dxa"/>
          </w:tblCellMar>
        </w:tblPrEx>
        <w:trPr>
          <w:jc w:val="center"/>
        </w:trPr>
        <w:tc>
          <w:tcPr>
            <w:tcW w:w="4647" w:type="dxa"/>
            <w:noWrap w:val="0"/>
            <w:vAlign w:val="top"/>
          </w:tcPr>
          <w:p w14:paraId="752403C3">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tc>
        <w:tc>
          <w:tcPr>
            <w:tcW w:w="4635" w:type="dxa"/>
            <w:noWrap w:val="0"/>
            <w:vAlign w:val="top"/>
          </w:tcPr>
          <w:p w14:paraId="2C6B87F9">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tc>
      </w:tr>
      <w:tr w14:paraId="3FD6ED0E">
        <w:tblPrEx>
          <w:tblCellMar>
            <w:top w:w="0" w:type="dxa"/>
            <w:left w:w="108" w:type="dxa"/>
            <w:bottom w:w="0" w:type="dxa"/>
            <w:right w:w="108" w:type="dxa"/>
          </w:tblCellMar>
        </w:tblPrEx>
        <w:trPr>
          <w:jc w:val="center"/>
        </w:trPr>
        <w:tc>
          <w:tcPr>
            <w:tcW w:w="4647" w:type="dxa"/>
            <w:noWrap w:val="0"/>
            <w:vAlign w:val="top"/>
          </w:tcPr>
          <w:p w14:paraId="63DBD73E">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c>
          <w:tcPr>
            <w:tcW w:w="4635" w:type="dxa"/>
            <w:noWrap w:val="0"/>
            <w:vAlign w:val="top"/>
          </w:tcPr>
          <w:p w14:paraId="62158C03">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r>
      <w:tr w14:paraId="017D2DA7">
        <w:tblPrEx>
          <w:tblCellMar>
            <w:top w:w="0" w:type="dxa"/>
            <w:left w:w="108" w:type="dxa"/>
            <w:bottom w:w="0" w:type="dxa"/>
            <w:right w:w="108" w:type="dxa"/>
          </w:tblCellMar>
        </w:tblPrEx>
        <w:trPr>
          <w:jc w:val="center"/>
        </w:trPr>
        <w:tc>
          <w:tcPr>
            <w:tcW w:w="4647" w:type="dxa"/>
            <w:noWrap w:val="0"/>
            <w:vAlign w:val="top"/>
          </w:tcPr>
          <w:p w14:paraId="5CFFD67E">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4635" w:type="dxa"/>
            <w:noWrap w:val="0"/>
            <w:vAlign w:val="top"/>
          </w:tcPr>
          <w:p w14:paraId="6D84F5E6">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3BD5E3F5">
        <w:tblPrEx>
          <w:tblCellMar>
            <w:top w:w="0" w:type="dxa"/>
            <w:left w:w="108" w:type="dxa"/>
            <w:bottom w:w="0" w:type="dxa"/>
            <w:right w:w="108" w:type="dxa"/>
          </w:tblCellMar>
        </w:tblPrEx>
        <w:trPr>
          <w:jc w:val="center"/>
        </w:trPr>
        <w:tc>
          <w:tcPr>
            <w:tcW w:w="4647" w:type="dxa"/>
            <w:noWrap w:val="0"/>
            <w:vAlign w:val="top"/>
          </w:tcPr>
          <w:p w14:paraId="4E311408">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  号：</w:t>
            </w:r>
          </w:p>
        </w:tc>
        <w:tc>
          <w:tcPr>
            <w:tcW w:w="4635" w:type="dxa"/>
            <w:noWrap w:val="0"/>
            <w:vAlign w:val="top"/>
          </w:tcPr>
          <w:p w14:paraId="72C4A606">
            <w:pPr>
              <w:pageBreakBefore w:val="0"/>
              <w:widowControl w:val="0"/>
              <w:kinsoku/>
              <w:wordWrap/>
              <w:overflowPunct/>
              <w:topLinePunct w:val="0"/>
              <w:bidi w:val="0"/>
              <w:snapToGrid/>
              <w:spacing w:line="360" w:lineRule="exact"/>
              <w:jc w:val="left"/>
              <w:textAlignment w:val="auto"/>
              <w:rPr>
                <w:rFonts w:hint="eastAsia" w:ascii="宋体" w:hAnsi="宋体" w:eastAsia="宋体" w:cs="宋体"/>
                <w:kern w:val="2"/>
                <w:sz w:val="21"/>
                <w:szCs w:val="21"/>
                <w:lang w:val="zh-CN" w:eastAsia="zh-CN" w:bidi="ar-SA"/>
              </w:rPr>
            </w:pPr>
            <w:r>
              <w:rPr>
                <w:rFonts w:hint="eastAsia" w:ascii="宋体" w:hAnsi="宋体" w:eastAsia="宋体" w:cs="宋体"/>
                <w:color w:val="auto"/>
                <w:sz w:val="21"/>
                <w:szCs w:val="21"/>
                <w:highlight w:val="none"/>
              </w:rPr>
              <w:t>账  号：</w:t>
            </w:r>
          </w:p>
        </w:tc>
      </w:tr>
      <w:tr w14:paraId="445C6C03">
        <w:tblPrEx>
          <w:tblCellMar>
            <w:top w:w="0" w:type="dxa"/>
            <w:left w:w="108" w:type="dxa"/>
            <w:bottom w:w="0" w:type="dxa"/>
            <w:right w:w="108" w:type="dxa"/>
          </w:tblCellMar>
        </w:tblPrEx>
        <w:trPr>
          <w:jc w:val="center"/>
        </w:trPr>
        <w:tc>
          <w:tcPr>
            <w:tcW w:w="4647" w:type="dxa"/>
            <w:noWrap w:val="0"/>
            <w:vAlign w:val="top"/>
          </w:tcPr>
          <w:p w14:paraId="2123935E">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招标代理机构：</w:t>
            </w:r>
            <w:r>
              <w:rPr>
                <w:rFonts w:hint="eastAsia" w:ascii="宋体" w:hAnsi="宋体" w:eastAsia="宋体" w:cs="宋体"/>
                <w:color w:val="auto"/>
                <w:sz w:val="21"/>
                <w:szCs w:val="21"/>
                <w:highlight w:val="none"/>
              </w:rPr>
              <w:t>(公章)</w:t>
            </w:r>
          </w:p>
        </w:tc>
        <w:tc>
          <w:tcPr>
            <w:tcW w:w="4635" w:type="dxa"/>
            <w:noWrap w:val="0"/>
            <w:vAlign w:val="top"/>
          </w:tcPr>
          <w:p w14:paraId="0F524338">
            <w:pPr>
              <w:pageBreakBefore w:val="0"/>
              <w:widowControl w:val="0"/>
              <w:kinsoku/>
              <w:wordWrap/>
              <w:overflowPunct/>
              <w:topLinePunct w:val="0"/>
              <w:bidi w:val="0"/>
              <w:snapToGrid/>
              <w:spacing w:line="360" w:lineRule="exact"/>
              <w:jc w:val="left"/>
              <w:textAlignment w:val="auto"/>
              <w:rPr>
                <w:rFonts w:hint="eastAsia" w:ascii="宋体" w:hAnsi="宋体" w:eastAsia="宋体" w:cs="宋体"/>
                <w:color w:val="auto"/>
                <w:sz w:val="21"/>
                <w:szCs w:val="21"/>
                <w:highlight w:val="none"/>
              </w:rPr>
            </w:pPr>
          </w:p>
        </w:tc>
      </w:tr>
    </w:tbl>
    <w:p w14:paraId="7D01C517">
      <w:pPr>
        <w:pageBreakBefore w:val="0"/>
        <w:widowControl w:val="0"/>
        <w:tabs>
          <w:tab w:val="left" w:pos="0"/>
        </w:tabs>
        <w:kinsoku/>
        <w:wordWrap/>
        <w:overflowPunct/>
        <w:topLinePunct w:val="0"/>
        <w:bidi w:val="0"/>
        <w:snapToGrid/>
        <w:spacing w:line="400" w:lineRule="exact"/>
        <w:ind w:right="-36"/>
        <w:textAlignment w:val="auto"/>
        <w:rPr>
          <w:rFonts w:hint="eastAsia" w:ascii="宋体" w:hAnsi="宋体" w:eastAsia="宋体" w:cs="宋体"/>
          <w:color w:val="auto"/>
          <w:sz w:val="21"/>
          <w:szCs w:val="21"/>
          <w:highlight w:val="none"/>
        </w:rPr>
      </w:pPr>
    </w:p>
    <w:p w14:paraId="1B34A656">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auto"/>
        <w:outlineLvl w:val="1"/>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1"/>
          <w:szCs w:val="21"/>
          <w:highlight w:val="none"/>
          <w:lang w:val="en-US" w:eastAsia="zh-CN" w:bidi="ar-SA"/>
        </w:rPr>
        <w:br w:type="page"/>
      </w:r>
      <w:bookmarkStart w:id="61" w:name="OLE_LINK32"/>
      <w:bookmarkStart w:id="62" w:name="_Toc51164668"/>
      <w:bookmarkStart w:id="63" w:name="_Toc498006745"/>
      <w:bookmarkStart w:id="64" w:name="_Toc7479"/>
      <w:r>
        <w:rPr>
          <w:rFonts w:hint="eastAsia" w:ascii="宋体" w:hAnsi="宋体" w:eastAsia="宋体" w:cs="宋体"/>
          <w:b/>
          <w:color w:val="auto"/>
          <w:kern w:val="0"/>
          <w:sz w:val="24"/>
          <w:szCs w:val="24"/>
          <w:highlight w:val="none"/>
          <w:lang w:val="en-US" w:eastAsia="zh-CN"/>
        </w:rPr>
        <w:t>第二部分 通用合同条款</w:t>
      </w:r>
      <w:bookmarkEnd w:id="61"/>
      <w:bookmarkEnd w:id="62"/>
      <w:bookmarkEnd w:id="63"/>
      <w:bookmarkEnd w:id="64"/>
    </w:p>
    <w:p w14:paraId="49370337">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kern w:val="0"/>
          <w:sz w:val="21"/>
          <w:szCs w:val="21"/>
          <w:highlight w:val="none"/>
        </w:rPr>
      </w:pPr>
    </w:p>
    <w:p w14:paraId="1C33ECEE">
      <w:pPr>
        <w:pageBreakBefore w:val="0"/>
        <w:widowControl w:val="0"/>
        <w:kinsoku/>
        <w:wordWrap/>
        <w:overflowPunct/>
        <w:topLinePunct w:val="0"/>
        <w:bidi w:val="0"/>
        <w:snapToGrid/>
        <w:spacing w:line="400" w:lineRule="exact"/>
        <w:jc w:val="center"/>
        <w:textAlignment w:val="auto"/>
        <w:rPr>
          <w:rFonts w:hint="eastAsia" w:ascii="宋体" w:hAnsi="宋体" w:eastAsia="宋体" w:cs="宋体"/>
          <w:color w:val="auto"/>
          <w:sz w:val="21"/>
          <w:szCs w:val="21"/>
          <w:highlight w:val="none"/>
        </w:rPr>
      </w:pPr>
      <w:bookmarkStart w:id="65" w:name="OLE_LINK35"/>
      <w:bookmarkStart w:id="66" w:name="OLE_LINK34"/>
      <w:bookmarkStart w:id="67" w:name="OLE_LINK33"/>
      <w:r>
        <w:rPr>
          <w:rFonts w:hint="eastAsia" w:ascii="宋体" w:hAnsi="宋体" w:eastAsia="宋体" w:cs="宋体"/>
          <w:b/>
          <w:color w:val="auto"/>
          <w:kern w:val="0"/>
          <w:sz w:val="21"/>
          <w:szCs w:val="21"/>
          <w:highlight w:val="none"/>
        </w:rPr>
        <w:t>采用《建设工程施工合同（示范文本）》（</w:t>
      </w:r>
      <w:r>
        <w:rPr>
          <w:rFonts w:hint="eastAsia" w:ascii="宋体" w:hAnsi="宋体" w:eastAsia="宋体" w:cs="宋体"/>
          <w:b/>
          <w:color w:val="auto"/>
          <w:kern w:val="0"/>
          <w:sz w:val="21"/>
          <w:szCs w:val="21"/>
          <w:highlight w:val="none"/>
          <w:lang w:eastAsia="zh-CN"/>
        </w:rPr>
        <w:t>GF—2017—0201</w:t>
      </w:r>
      <w:r>
        <w:rPr>
          <w:rFonts w:hint="eastAsia" w:ascii="宋体" w:hAnsi="宋体" w:eastAsia="宋体" w:cs="宋体"/>
          <w:b/>
          <w:color w:val="auto"/>
          <w:kern w:val="0"/>
          <w:sz w:val="21"/>
          <w:szCs w:val="21"/>
          <w:highlight w:val="none"/>
        </w:rPr>
        <w:t>）。</w:t>
      </w:r>
      <w:bookmarkEnd w:id="65"/>
      <w:bookmarkEnd w:id="66"/>
      <w:bookmarkEnd w:id="67"/>
    </w:p>
    <w:p w14:paraId="2A01FF51">
      <w:pPr>
        <w:pageBreakBefore w:val="0"/>
        <w:widowControl w:val="0"/>
        <w:tabs>
          <w:tab w:val="left" w:pos="0"/>
        </w:tabs>
        <w:kinsoku/>
        <w:wordWrap/>
        <w:overflowPunct/>
        <w:topLinePunct w:val="0"/>
        <w:bidi w:val="0"/>
        <w:snapToGrid/>
        <w:spacing w:line="400" w:lineRule="exact"/>
        <w:ind w:right="-36" w:firstLine="529" w:firstLineChars="252"/>
        <w:textAlignment w:val="auto"/>
        <w:rPr>
          <w:rFonts w:hint="eastAsia" w:ascii="宋体" w:hAnsi="宋体" w:eastAsia="宋体" w:cs="宋体"/>
          <w:color w:val="auto"/>
          <w:sz w:val="21"/>
          <w:szCs w:val="21"/>
          <w:highlight w:val="none"/>
        </w:rPr>
      </w:pPr>
    </w:p>
    <w:p w14:paraId="37D144BE">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auto"/>
        <w:outlineLvl w:val="1"/>
        <w:rPr>
          <w:rFonts w:hint="eastAsia" w:ascii="宋体" w:hAnsi="宋体" w:eastAsia="宋体" w:cs="宋体"/>
          <w:b/>
          <w:color w:val="auto"/>
          <w:kern w:val="0"/>
          <w:sz w:val="24"/>
          <w:szCs w:val="24"/>
          <w:highlight w:val="none"/>
          <w:lang w:val="en-US" w:eastAsia="zh-CN"/>
        </w:rPr>
      </w:pPr>
      <w:bookmarkStart w:id="68" w:name="_Toc498006746"/>
      <w:bookmarkStart w:id="69" w:name="_Toc51164669"/>
      <w:bookmarkStart w:id="70" w:name="_Toc11882"/>
      <w:bookmarkStart w:id="71" w:name="OLE_LINK37"/>
      <w:bookmarkStart w:id="72" w:name="OLE_LINK36"/>
      <w:r>
        <w:rPr>
          <w:rFonts w:hint="eastAsia" w:ascii="宋体" w:hAnsi="宋体" w:eastAsia="宋体" w:cs="宋体"/>
          <w:b/>
          <w:color w:val="auto"/>
          <w:kern w:val="0"/>
          <w:sz w:val="24"/>
          <w:szCs w:val="24"/>
          <w:highlight w:val="none"/>
          <w:lang w:val="en-US" w:eastAsia="zh-CN"/>
        </w:rPr>
        <w:t>第三部分 专用合同条款</w:t>
      </w:r>
      <w:bookmarkEnd w:id="68"/>
      <w:bookmarkEnd w:id="69"/>
      <w:bookmarkEnd w:id="70"/>
    </w:p>
    <w:p w14:paraId="68ED6095">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73" w:name="_Toc51164670"/>
      <w:bookmarkStart w:id="74" w:name="_Toc1307"/>
      <w:bookmarkStart w:id="75" w:name="_Toc351203633"/>
      <w:r>
        <w:rPr>
          <w:rFonts w:hint="eastAsia" w:ascii="宋体" w:hAnsi="宋体" w:eastAsia="宋体" w:cs="宋体"/>
          <w:b/>
          <w:color w:val="auto"/>
          <w:kern w:val="0"/>
          <w:sz w:val="21"/>
          <w:szCs w:val="21"/>
          <w:highlight w:val="none"/>
          <w:lang w:val="en-US" w:eastAsia="zh-CN" w:bidi="ar-SA"/>
        </w:rPr>
        <w:t>1</w:t>
      </w:r>
      <w:bookmarkStart w:id="76" w:name="_Toc296503156"/>
      <w:bookmarkStart w:id="77" w:name="_Toc297120456"/>
      <w:bookmarkStart w:id="78" w:name="_Toc292559361"/>
      <w:bookmarkStart w:id="79" w:name="_Toc296944495"/>
      <w:bookmarkStart w:id="80" w:name="_Toc296347155"/>
      <w:bookmarkStart w:id="81" w:name="_Toc296890984"/>
      <w:bookmarkStart w:id="82" w:name="_Toc292559866"/>
      <w:bookmarkStart w:id="83" w:name="_Toc297048342"/>
      <w:bookmarkStart w:id="84" w:name="_Toc296346657"/>
      <w:bookmarkStart w:id="85" w:name="_Toc296891196"/>
      <w:r>
        <w:rPr>
          <w:rFonts w:hint="eastAsia" w:ascii="宋体" w:hAnsi="宋体" w:eastAsia="宋体" w:cs="宋体"/>
          <w:b/>
          <w:color w:val="auto"/>
          <w:kern w:val="0"/>
          <w:sz w:val="21"/>
          <w:szCs w:val="21"/>
          <w:highlight w:val="none"/>
          <w:lang w:val="en-US" w:eastAsia="zh-CN" w:bidi="ar-SA"/>
        </w:rPr>
        <w:t>. 一般约定</w:t>
      </w:r>
      <w:bookmarkEnd w:id="73"/>
      <w:bookmarkEnd w:id="74"/>
      <w:bookmarkEnd w:id="75"/>
    </w:p>
    <w:bookmarkEnd w:id="76"/>
    <w:bookmarkEnd w:id="77"/>
    <w:bookmarkEnd w:id="78"/>
    <w:bookmarkEnd w:id="79"/>
    <w:bookmarkEnd w:id="80"/>
    <w:bookmarkEnd w:id="81"/>
    <w:bookmarkEnd w:id="82"/>
    <w:bookmarkEnd w:id="83"/>
    <w:bookmarkEnd w:id="84"/>
    <w:bookmarkEnd w:id="85"/>
    <w:p w14:paraId="60EEE75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词语定义</w:t>
      </w:r>
    </w:p>
    <w:p w14:paraId="3EAC410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1.1.1 合同</w:t>
      </w:r>
    </w:p>
    <w:p w14:paraId="09D66CC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1.1.1.10 其他合同文件包括：</w:t>
      </w:r>
      <w:r>
        <w:rPr>
          <w:rFonts w:hint="eastAsia" w:ascii="宋体" w:hAnsi="宋体" w:eastAsia="宋体" w:cs="宋体"/>
          <w:bCs/>
          <w:color w:val="auto"/>
          <w:sz w:val="21"/>
          <w:szCs w:val="21"/>
          <w:highlight w:val="none"/>
          <w:u w:val="single"/>
        </w:rPr>
        <w:t>招标文件、答疑纪要、工程量清单及编制说明</w:t>
      </w:r>
      <w:r>
        <w:rPr>
          <w:rFonts w:hint="eastAsia" w:ascii="宋体" w:hAnsi="宋体" w:eastAsia="宋体" w:cs="宋体"/>
          <w:bCs/>
          <w:color w:val="auto"/>
          <w:sz w:val="21"/>
          <w:szCs w:val="21"/>
          <w:highlight w:val="none"/>
          <w:u w:val="single"/>
          <w:lang w:eastAsia="zh-CN"/>
        </w:rPr>
        <w:t>（</w:t>
      </w:r>
      <w:r>
        <w:rPr>
          <w:rFonts w:hint="eastAsia" w:ascii="宋体" w:hAnsi="宋体" w:eastAsia="宋体" w:cs="宋体"/>
          <w:bCs/>
          <w:color w:val="auto"/>
          <w:sz w:val="21"/>
          <w:szCs w:val="21"/>
          <w:highlight w:val="none"/>
          <w:u w:val="single"/>
          <w:lang w:val="en-US" w:eastAsia="zh-CN"/>
        </w:rPr>
        <w:t>如有</w:t>
      </w:r>
      <w:r>
        <w:rPr>
          <w:rFonts w:hint="eastAsia" w:ascii="宋体" w:hAnsi="宋体" w:eastAsia="宋体" w:cs="宋体"/>
          <w:bCs/>
          <w:color w:val="auto"/>
          <w:sz w:val="21"/>
          <w:szCs w:val="21"/>
          <w:highlight w:val="none"/>
          <w:u w:val="single"/>
          <w:lang w:eastAsia="zh-CN"/>
        </w:rPr>
        <w:t>）</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文件及双方其他书面约定</w:t>
      </w:r>
      <w:r>
        <w:rPr>
          <w:rFonts w:hint="eastAsia" w:ascii="宋体" w:hAnsi="宋体" w:eastAsia="宋体" w:cs="宋体"/>
          <w:color w:val="auto"/>
          <w:sz w:val="21"/>
          <w:szCs w:val="21"/>
          <w:highlight w:val="none"/>
          <w:u w:val="single"/>
        </w:rPr>
        <w:t>。</w:t>
      </w:r>
    </w:p>
    <w:p w14:paraId="2A65D8A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合同当事人及其他相关方</w:t>
      </w:r>
    </w:p>
    <w:p w14:paraId="50D40CA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1.1.2.4 监理人：</w:t>
      </w:r>
    </w:p>
    <w:p w14:paraId="0899557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F3456D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资质类别和等级：</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2C7A954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5FA6333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504CE68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1115E30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1.1.2.5 设计人：</w:t>
      </w:r>
    </w:p>
    <w:p w14:paraId="1D191B1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1885F87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资质类别和等级：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64441B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A10A54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79D89D0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C540CB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工程和设备</w:t>
      </w:r>
    </w:p>
    <w:p w14:paraId="4AAF237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1.1.3.7 作为施工现场组成部分的其他场所包括：</w:t>
      </w:r>
      <w:r>
        <w:rPr>
          <w:rFonts w:hint="eastAsia" w:ascii="宋体" w:hAnsi="宋体" w:eastAsia="宋体" w:cs="宋体"/>
          <w:bCs/>
          <w:color w:val="auto"/>
          <w:sz w:val="21"/>
          <w:szCs w:val="21"/>
          <w:highlight w:val="none"/>
          <w:u w:val="single"/>
        </w:rPr>
        <w:t>现场临时办公及施工场地</w:t>
      </w:r>
      <w:r>
        <w:rPr>
          <w:rFonts w:hint="eastAsia" w:ascii="宋体" w:hAnsi="宋体" w:eastAsia="宋体" w:cs="宋体"/>
          <w:color w:val="auto"/>
          <w:sz w:val="21"/>
          <w:szCs w:val="21"/>
          <w:highlight w:val="none"/>
          <w:u w:val="single"/>
        </w:rPr>
        <w:t>。</w:t>
      </w:r>
    </w:p>
    <w:p w14:paraId="7705E0B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1.1.3.9 永久占地包括：</w:t>
      </w:r>
      <w:r>
        <w:rPr>
          <w:rFonts w:hint="eastAsia" w:ascii="宋体" w:hAnsi="宋体" w:eastAsia="宋体" w:cs="宋体"/>
          <w:bCs/>
          <w:color w:val="auto"/>
          <w:sz w:val="21"/>
          <w:szCs w:val="21"/>
          <w:highlight w:val="none"/>
          <w:u w:val="single"/>
        </w:rPr>
        <w:t>按照设计图纸确定</w:t>
      </w:r>
      <w:r>
        <w:rPr>
          <w:rFonts w:hint="eastAsia" w:ascii="宋体" w:hAnsi="宋体" w:eastAsia="宋体" w:cs="宋体"/>
          <w:color w:val="auto"/>
          <w:kern w:val="0"/>
          <w:sz w:val="21"/>
          <w:szCs w:val="21"/>
          <w:highlight w:val="none"/>
          <w:u w:val="single"/>
        </w:rPr>
        <w:t>。</w:t>
      </w:r>
    </w:p>
    <w:p w14:paraId="60154EB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1.1.3.10 临时占地包括：</w:t>
      </w:r>
      <w:r>
        <w:rPr>
          <w:rFonts w:hint="eastAsia" w:ascii="宋体" w:hAnsi="宋体" w:eastAsia="宋体" w:cs="宋体"/>
          <w:bCs/>
          <w:color w:val="auto"/>
          <w:sz w:val="21"/>
          <w:szCs w:val="21"/>
          <w:highlight w:val="none"/>
          <w:u w:val="single"/>
        </w:rPr>
        <w:t>合同履行中确定</w:t>
      </w:r>
      <w:r>
        <w:rPr>
          <w:rFonts w:hint="eastAsia" w:ascii="宋体" w:hAnsi="宋体" w:eastAsia="宋体" w:cs="宋体"/>
          <w:color w:val="auto"/>
          <w:kern w:val="0"/>
          <w:sz w:val="21"/>
          <w:szCs w:val="21"/>
          <w:highlight w:val="none"/>
          <w:u w:val="single"/>
        </w:rPr>
        <w:t>。</w:t>
      </w:r>
    </w:p>
    <w:p w14:paraId="21A2524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1.3 法律 </w:t>
      </w:r>
    </w:p>
    <w:p w14:paraId="69DA933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适用于合同的其他规范性文件：</w:t>
      </w:r>
      <w:r>
        <w:rPr>
          <w:rFonts w:hint="eastAsia" w:ascii="宋体" w:hAnsi="宋体" w:eastAsia="宋体" w:cs="宋体"/>
          <w:bCs/>
          <w:color w:val="auto"/>
          <w:sz w:val="21"/>
          <w:szCs w:val="21"/>
          <w:highlight w:val="none"/>
          <w:u w:val="single"/>
        </w:rPr>
        <w:t>《中华人民共和国</w:t>
      </w:r>
      <w:r>
        <w:rPr>
          <w:rFonts w:hint="eastAsia" w:ascii="宋体" w:hAnsi="宋体" w:eastAsia="宋体" w:cs="宋体"/>
          <w:bCs/>
          <w:color w:val="auto"/>
          <w:sz w:val="21"/>
          <w:szCs w:val="21"/>
          <w:highlight w:val="none"/>
          <w:u w:val="single"/>
          <w:lang w:val="en-US" w:eastAsia="zh-CN"/>
        </w:rPr>
        <w:t>民法典</w:t>
      </w:r>
      <w:r>
        <w:rPr>
          <w:rFonts w:hint="eastAsia" w:ascii="宋体" w:hAnsi="宋体" w:eastAsia="宋体" w:cs="宋体"/>
          <w:bCs/>
          <w:color w:val="auto"/>
          <w:sz w:val="21"/>
          <w:szCs w:val="21"/>
          <w:highlight w:val="none"/>
          <w:u w:val="single"/>
        </w:rPr>
        <w:t>》、《中华人民共和国建筑法》、《中华人民共和国招标</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法》、《中华人民共和国招标</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法实施条例》、《中华人民共和国担保法》、《中华人民共和国政府采购法》、《建设工程质量管理条例》、《建设工程安全生产管理条例》及其他相关国家和地方法律、法规、规章</w:t>
      </w:r>
      <w:r>
        <w:rPr>
          <w:rFonts w:hint="eastAsia" w:ascii="宋体" w:hAnsi="宋体" w:eastAsia="宋体" w:cs="宋体"/>
          <w:color w:val="auto"/>
          <w:sz w:val="21"/>
          <w:szCs w:val="21"/>
          <w:highlight w:val="none"/>
          <w:u w:val="single"/>
        </w:rPr>
        <w:t>。</w:t>
      </w:r>
    </w:p>
    <w:p w14:paraId="6AE6254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标准和规范</w:t>
      </w:r>
    </w:p>
    <w:p w14:paraId="5B04AFC1">
      <w:pPr>
        <w:pageBreakBefore w:val="0"/>
        <w:widowControl w:val="0"/>
        <w:kinsoku/>
        <w:wordWrap/>
        <w:overflowPunct/>
        <w:topLinePunct w:val="0"/>
        <w:bidi w:val="0"/>
        <w:snapToGrid/>
        <w:spacing w:line="400" w:lineRule="exact"/>
        <w:ind w:firstLine="42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1.4.1 适用于工程的标准规范包括：</w:t>
      </w:r>
      <w:r>
        <w:rPr>
          <w:rFonts w:hint="eastAsia" w:ascii="宋体" w:hAnsi="宋体" w:eastAsia="宋体" w:cs="宋体"/>
          <w:bCs/>
          <w:color w:val="auto"/>
          <w:sz w:val="21"/>
          <w:szCs w:val="21"/>
          <w:highlight w:val="none"/>
          <w:u w:val="single"/>
        </w:rPr>
        <w:t>中华人民共和国建设部颁发的有关标准、规范及省、市有关规定，施工图纸以及设计文件所载明的标准、规范、规程</w:t>
      </w:r>
      <w:r>
        <w:rPr>
          <w:rFonts w:hint="eastAsia" w:ascii="宋体" w:hAnsi="宋体" w:eastAsia="宋体" w:cs="宋体"/>
          <w:color w:val="auto"/>
          <w:sz w:val="21"/>
          <w:szCs w:val="21"/>
          <w:highlight w:val="none"/>
          <w:u w:val="single"/>
        </w:rPr>
        <w:t>。</w:t>
      </w:r>
    </w:p>
    <w:p w14:paraId="4A927F9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1.4.2 发包人提供国外标准、规范的名称：</w:t>
      </w:r>
      <w:r>
        <w:rPr>
          <w:rFonts w:hint="eastAsia" w:ascii="宋体" w:hAnsi="宋体" w:eastAsia="宋体" w:cs="宋体"/>
          <w:bCs/>
          <w:color w:val="auto"/>
          <w:kern w:val="0"/>
          <w:sz w:val="21"/>
          <w:szCs w:val="21"/>
          <w:highlight w:val="none"/>
          <w:u w:val="single"/>
        </w:rPr>
        <w:t>/</w:t>
      </w:r>
      <w:r>
        <w:rPr>
          <w:rFonts w:hint="eastAsia" w:ascii="宋体" w:hAnsi="宋体" w:eastAsia="宋体" w:cs="宋体"/>
          <w:color w:val="auto"/>
          <w:kern w:val="0"/>
          <w:sz w:val="21"/>
          <w:szCs w:val="21"/>
          <w:highlight w:val="none"/>
        </w:rPr>
        <w:t>；</w:t>
      </w:r>
    </w:p>
    <w:p w14:paraId="3D00218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发包人提供国外标准、规范的份数：</w:t>
      </w:r>
      <w:r>
        <w:rPr>
          <w:rFonts w:hint="eastAsia" w:ascii="宋体" w:hAnsi="宋体" w:eastAsia="宋体" w:cs="宋体"/>
          <w:bCs/>
          <w:color w:val="auto"/>
          <w:kern w:val="0"/>
          <w:sz w:val="21"/>
          <w:szCs w:val="21"/>
          <w:highlight w:val="none"/>
          <w:u w:val="single"/>
        </w:rPr>
        <w:t>/</w:t>
      </w:r>
      <w:r>
        <w:rPr>
          <w:rFonts w:hint="eastAsia" w:ascii="宋体" w:hAnsi="宋体" w:eastAsia="宋体" w:cs="宋体"/>
          <w:color w:val="auto"/>
          <w:kern w:val="0"/>
          <w:sz w:val="21"/>
          <w:szCs w:val="21"/>
          <w:highlight w:val="none"/>
        </w:rPr>
        <w:t>；</w:t>
      </w:r>
    </w:p>
    <w:p w14:paraId="0ACCE6D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发包人提供国外标准、规范的名称：</w:t>
      </w:r>
      <w:r>
        <w:rPr>
          <w:rFonts w:hint="eastAsia" w:ascii="宋体" w:hAnsi="宋体" w:eastAsia="宋体" w:cs="宋体"/>
          <w:bCs/>
          <w:color w:val="auto"/>
          <w:kern w:val="0"/>
          <w:sz w:val="21"/>
          <w:szCs w:val="21"/>
          <w:highlight w:val="none"/>
          <w:u w:val="single"/>
        </w:rPr>
        <w:t>/</w:t>
      </w:r>
      <w:r>
        <w:rPr>
          <w:rFonts w:hint="eastAsia" w:ascii="宋体" w:hAnsi="宋体" w:eastAsia="宋体" w:cs="宋体"/>
          <w:color w:val="auto"/>
          <w:kern w:val="0"/>
          <w:sz w:val="21"/>
          <w:szCs w:val="21"/>
          <w:highlight w:val="none"/>
        </w:rPr>
        <w:t>。</w:t>
      </w:r>
    </w:p>
    <w:p w14:paraId="2AC34AD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1.4.3 发包人对工程的技术标准和功能要求的特殊要求：</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rPr>
        <w:t>。</w:t>
      </w:r>
    </w:p>
    <w:p w14:paraId="3820D7B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 合同文件的优先顺序</w:t>
      </w:r>
    </w:p>
    <w:p w14:paraId="6CADD0F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合同文件组成及优先顺序为：</w:t>
      </w:r>
      <w:r>
        <w:rPr>
          <w:rFonts w:hint="eastAsia" w:ascii="宋体" w:hAnsi="宋体" w:eastAsia="宋体" w:cs="宋体"/>
          <w:bCs/>
          <w:color w:val="auto"/>
          <w:sz w:val="21"/>
          <w:szCs w:val="21"/>
          <w:highlight w:val="none"/>
          <w:u w:val="single"/>
        </w:rPr>
        <w:t>（1）合同协议书；（2）中标通知书；（3）</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函及其附录；（4）专用合同条款及其附件；（5）通用合同条款；（6）技术标准和要求；（7）已标价工程量清单或预算书；（8）图纸；（9）其他文件</w:t>
      </w:r>
      <w:r>
        <w:rPr>
          <w:rFonts w:hint="eastAsia" w:ascii="宋体" w:hAnsi="宋体" w:eastAsia="宋体" w:cs="宋体"/>
          <w:color w:val="auto"/>
          <w:sz w:val="21"/>
          <w:szCs w:val="21"/>
          <w:highlight w:val="none"/>
          <w:u w:val="single"/>
        </w:rPr>
        <w:t>。</w:t>
      </w:r>
    </w:p>
    <w:p w14:paraId="2292F41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图纸和承包人文件</w:t>
      </w:r>
    </w:p>
    <w:p w14:paraId="36E5AFB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图纸的提供</w:t>
      </w:r>
    </w:p>
    <w:p w14:paraId="4E53B53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发包人向承包人提供图纸的期限：</w:t>
      </w:r>
      <w:r>
        <w:rPr>
          <w:rFonts w:hint="eastAsia" w:ascii="宋体" w:hAnsi="宋体" w:eastAsia="宋体" w:cs="宋体"/>
          <w:bCs/>
          <w:color w:val="auto"/>
          <w:sz w:val="21"/>
          <w:szCs w:val="21"/>
          <w:highlight w:val="none"/>
          <w:u w:val="single"/>
        </w:rPr>
        <w:t>开工前7天</w:t>
      </w:r>
      <w:r>
        <w:rPr>
          <w:rFonts w:hint="eastAsia" w:ascii="宋体" w:hAnsi="宋体" w:eastAsia="宋体" w:cs="宋体"/>
          <w:color w:val="auto"/>
          <w:sz w:val="21"/>
          <w:szCs w:val="21"/>
          <w:highlight w:val="none"/>
        </w:rPr>
        <w:t>；</w:t>
      </w:r>
    </w:p>
    <w:p w14:paraId="7615E9D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发包人向承包人提供图纸的数量：</w:t>
      </w:r>
      <w:r>
        <w:rPr>
          <w:rFonts w:hint="eastAsia" w:ascii="宋体" w:hAnsi="宋体" w:eastAsia="宋体" w:cs="宋体"/>
          <w:bCs/>
          <w:color w:val="auto"/>
          <w:sz w:val="21"/>
          <w:szCs w:val="21"/>
          <w:highlight w:val="none"/>
          <w:u w:val="single"/>
          <w:lang w:val="en-US" w:eastAsia="zh-CN"/>
        </w:rPr>
        <w:t>贰</w:t>
      </w:r>
      <w:r>
        <w:rPr>
          <w:rFonts w:hint="eastAsia" w:ascii="宋体" w:hAnsi="宋体" w:eastAsia="宋体" w:cs="宋体"/>
          <w:bCs/>
          <w:color w:val="auto"/>
          <w:sz w:val="21"/>
          <w:szCs w:val="21"/>
          <w:highlight w:val="none"/>
          <w:u w:val="single"/>
        </w:rPr>
        <w:t>套（含竣工后提供竣工图），承包人可自费复印更多份数</w:t>
      </w:r>
      <w:r>
        <w:rPr>
          <w:rFonts w:hint="eastAsia" w:ascii="宋体" w:hAnsi="宋体" w:eastAsia="宋体" w:cs="宋体"/>
          <w:color w:val="auto"/>
          <w:sz w:val="21"/>
          <w:szCs w:val="21"/>
          <w:highlight w:val="none"/>
          <w:u w:val="single"/>
        </w:rPr>
        <w:t>；</w:t>
      </w:r>
    </w:p>
    <w:p w14:paraId="1D80AFA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发包人向承包人提供图纸的内容：</w:t>
      </w:r>
      <w:r>
        <w:rPr>
          <w:rFonts w:hint="eastAsia" w:ascii="宋体" w:hAnsi="宋体" w:eastAsia="宋体" w:cs="宋体"/>
          <w:bCs/>
          <w:color w:val="auto"/>
          <w:sz w:val="21"/>
          <w:szCs w:val="21"/>
          <w:highlight w:val="none"/>
          <w:u w:val="single"/>
        </w:rPr>
        <w:t>提供经会审通过的全部施工图纸</w:t>
      </w:r>
      <w:r>
        <w:rPr>
          <w:rFonts w:hint="eastAsia" w:ascii="宋体" w:hAnsi="宋体" w:eastAsia="宋体" w:cs="宋体"/>
          <w:color w:val="auto"/>
          <w:sz w:val="21"/>
          <w:szCs w:val="21"/>
          <w:highlight w:val="none"/>
          <w:u w:val="single"/>
        </w:rPr>
        <w:t>。</w:t>
      </w:r>
    </w:p>
    <w:p w14:paraId="546E2E4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承包人文件</w:t>
      </w:r>
    </w:p>
    <w:p w14:paraId="4F9B3EEC">
      <w:pPr>
        <w:pageBreakBefore w:val="0"/>
        <w:widowControl w:val="0"/>
        <w:kinsoku/>
        <w:wordWrap/>
        <w:overflowPunct/>
        <w:topLinePunct w:val="0"/>
        <w:bidi w:val="0"/>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需要由承包人提供的文件，包括：</w:t>
      </w:r>
      <w:r>
        <w:rPr>
          <w:rFonts w:hint="eastAsia" w:ascii="宋体" w:hAnsi="宋体" w:eastAsia="宋体" w:cs="宋体"/>
          <w:bCs/>
          <w:color w:val="auto"/>
          <w:sz w:val="21"/>
          <w:szCs w:val="21"/>
          <w:highlight w:val="none"/>
          <w:u w:val="single"/>
        </w:rPr>
        <w:t>包含但不限于发包人和监理人要求的各类报表、施工组织设计、专项方案、工程申报单</w:t>
      </w:r>
      <w:r>
        <w:rPr>
          <w:rFonts w:hint="eastAsia" w:ascii="宋体" w:hAnsi="宋体" w:eastAsia="宋体" w:cs="宋体"/>
          <w:bCs/>
          <w:color w:val="auto"/>
          <w:sz w:val="21"/>
          <w:szCs w:val="21"/>
          <w:highlight w:val="none"/>
          <w:u w:val="single"/>
          <w:lang w:eastAsia="zh-CN"/>
        </w:rPr>
        <w:t>、</w:t>
      </w:r>
      <w:r>
        <w:rPr>
          <w:rFonts w:hint="eastAsia" w:ascii="宋体" w:hAnsi="宋体" w:eastAsia="宋体" w:cs="宋体"/>
          <w:bCs/>
          <w:color w:val="auto"/>
          <w:sz w:val="21"/>
          <w:szCs w:val="21"/>
          <w:highlight w:val="none"/>
          <w:u w:val="single"/>
        </w:rPr>
        <w:t>验收资料及竣工资料等</w:t>
      </w:r>
      <w:r>
        <w:rPr>
          <w:rFonts w:hint="eastAsia" w:ascii="宋体" w:hAnsi="宋体" w:eastAsia="宋体" w:cs="宋体"/>
          <w:color w:val="auto"/>
          <w:sz w:val="21"/>
          <w:szCs w:val="21"/>
          <w:highlight w:val="none"/>
          <w:u w:val="single"/>
        </w:rPr>
        <w:t>；</w:t>
      </w:r>
    </w:p>
    <w:p w14:paraId="7CC72E3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承包人提供的文件的期限为：</w:t>
      </w:r>
      <w:r>
        <w:rPr>
          <w:rFonts w:hint="eastAsia" w:ascii="宋体" w:hAnsi="宋体" w:eastAsia="宋体" w:cs="宋体"/>
          <w:bCs/>
          <w:color w:val="auto"/>
          <w:sz w:val="21"/>
          <w:szCs w:val="21"/>
          <w:highlight w:val="none"/>
          <w:u w:val="single"/>
        </w:rPr>
        <w:t>发包人提出要求7天内</w:t>
      </w:r>
      <w:r>
        <w:rPr>
          <w:rFonts w:hint="eastAsia" w:ascii="宋体" w:hAnsi="宋体" w:eastAsia="宋体" w:cs="宋体"/>
          <w:color w:val="auto"/>
          <w:sz w:val="21"/>
          <w:szCs w:val="21"/>
          <w:highlight w:val="none"/>
          <w:u w:val="single"/>
        </w:rPr>
        <w:t>；</w:t>
      </w:r>
    </w:p>
    <w:p w14:paraId="1F014D9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承包人提供的文件的数量为</w:t>
      </w:r>
      <w:r>
        <w:rPr>
          <w:rFonts w:hint="eastAsia" w:ascii="宋体" w:hAnsi="宋体" w:eastAsia="宋体" w:cs="宋体"/>
          <w:color w:val="auto"/>
          <w:sz w:val="21"/>
          <w:szCs w:val="21"/>
          <w:highlight w:val="none"/>
          <w:u w:val="single"/>
        </w:rPr>
        <w:t>：</w:t>
      </w:r>
      <w:r>
        <w:rPr>
          <w:rFonts w:hint="eastAsia" w:ascii="宋体" w:hAnsi="宋体" w:eastAsia="宋体" w:cs="宋体"/>
          <w:bCs/>
          <w:color w:val="auto"/>
          <w:sz w:val="21"/>
          <w:szCs w:val="21"/>
          <w:highlight w:val="none"/>
          <w:u w:val="single"/>
        </w:rPr>
        <w:t>一式肆份</w:t>
      </w:r>
      <w:r>
        <w:rPr>
          <w:rFonts w:hint="eastAsia" w:ascii="宋体" w:hAnsi="宋体" w:eastAsia="宋体" w:cs="宋体"/>
          <w:color w:val="auto"/>
          <w:sz w:val="21"/>
          <w:szCs w:val="21"/>
          <w:highlight w:val="none"/>
          <w:u w:val="single"/>
        </w:rPr>
        <w:t>；</w:t>
      </w:r>
    </w:p>
    <w:p w14:paraId="4D1BDE6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承包人提供的文件的形式为：</w:t>
      </w:r>
      <w:r>
        <w:rPr>
          <w:rFonts w:hint="eastAsia" w:ascii="宋体" w:hAnsi="宋体" w:eastAsia="宋体" w:cs="宋体"/>
          <w:bCs/>
          <w:color w:val="auto"/>
          <w:sz w:val="21"/>
          <w:szCs w:val="21"/>
          <w:highlight w:val="none"/>
          <w:u w:val="single"/>
        </w:rPr>
        <w:t>纸质和电子文件</w:t>
      </w:r>
      <w:r>
        <w:rPr>
          <w:rFonts w:hint="eastAsia" w:ascii="宋体" w:hAnsi="宋体" w:eastAsia="宋体" w:cs="宋体"/>
          <w:color w:val="auto"/>
          <w:sz w:val="21"/>
          <w:szCs w:val="21"/>
          <w:highlight w:val="none"/>
        </w:rPr>
        <w:t>；</w:t>
      </w:r>
    </w:p>
    <w:p w14:paraId="47A7A69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发包人审批承包人文件的期限：</w:t>
      </w:r>
      <w:r>
        <w:rPr>
          <w:rFonts w:hint="eastAsia" w:ascii="宋体" w:hAnsi="宋体" w:eastAsia="宋体" w:cs="宋体"/>
          <w:bCs/>
          <w:color w:val="auto"/>
          <w:sz w:val="21"/>
          <w:szCs w:val="21"/>
          <w:highlight w:val="none"/>
          <w:u w:val="single"/>
        </w:rPr>
        <w:t>承包人提供相应文件后7天内</w:t>
      </w:r>
      <w:r>
        <w:rPr>
          <w:rFonts w:hint="eastAsia" w:ascii="宋体" w:hAnsi="宋体" w:eastAsia="宋体" w:cs="宋体"/>
          <w:color w:val="auto"/>
          <w:sz w:val="21"/>
          <w:szCs w:val="21"/>
          <w:highlight w:val="none"/>
          <w:u w:val="single"/>
        </w:rPr>
        <w:t>。</w:t>
      </w:r>
    </w:p>
    <w:p w14:paraId="5A57657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1.6.5 现场图纸准备</w:t>
      </w:r>
    </w:p>
    <w:p w14:paraId="635FEE8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关于现场图纸准备的约定：</w:t>
      </w:r>
      <w:r>
        <w:rPr>
          <w:rFonts w:hint="eastAsia" w:ascii="宋体" w:hAnsi="宋体" w:eastAsia="宋体" w:cs="宋体"/>
          <w:bCs/>
          <w:color w:val="auto"/>
          <w:sz w:val="21"/>
          <w:szCs w:val="21"/>
          <w:highlight w:val="none"/>
          <w:u w:val="single"/>
        </w:rPr>
        <w:t>承包人应在施工现场另外保存一套完整的图纸和承包人文件，供发包人、监理人及有关人员进行工程检查时使用</w:t>
      </w:r>
      <w:r>
        <w:rPr>
          <w:rFonts w:hint="eastAsia" w:ascii="宋体" w:hAnsi="宋体" w:eastAsia="宋体" w:cs="宋体"/>
          <w:color w:val="auto"/>
          <w:sz w:val="21"/>
          <w:szCs w:val="21"/>
          <w:highlight w:val="none"/>
          <w:u w:val="single"/>
        </w:rPr>
        <w:t>。</w:t>
      </w:r>
    </w:p>
    <w:p w14:paraId="5A6312B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 联络</w:t>
      </w:r>
    </w:p>
    <w:p w14:paraId="0D9A761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1.7.1 发包人和承包人应当在</w:t>
      </w:r>
      <w:r>
        <w:rPr>
          <w:rFonts w:hint="eastAsia" w:ascii="宋体" w:hAnsi="宋体" w:eastAsia="宋体" w:cs="宋体"/>
          <w:bCs/>
          <w:color w:val="auto"/>
          <w:sz w:val="21"/>
          <w:szCs w:val="21"/>
          <w:highlight w:val="none"/>
        </w:rPr>
        <w:t>7</w:t>
      </w:r>
      <w:r>
        <w:rPr>
          <w:rFonts w:hint="eastAsia" w:ascii="宋体" w:hAnsi="宋体" w:eastAsia="宋体" w:cs="宋体"/>
          <w:color w:val="auto"/>
          <w:kern w:val="0"/>
          <w:sz w:val="21"/>
          <w:szCs w:val="21"/>
          <w:highlight w:val="none"/>
        </w:rPr>
        <w:t>天内将与合同有关的通知、批准、证明、证书、指示、指令、要求、请求、同意、意见、确定和决定等书面函件送达对方当事人。</w:t>
      </w:r>
    </w:p>
    <w:p w14:paraId="09485D3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1.7.2 发包人接收文件的地点：</w:t>
      </w:r>
      <w:r>
        <w:rPr>
          <w:rFonts w:hint="eastAsia" w:ascii="宋体" w:hAnsi="宋体" w:eastAsia="宋体" w:cs="宋体"/>
          <w:bCs/>
          <w:color w:val="auto"/>
          <w:sz w:val="21"/>
          <w:szCs w:val="21"/>
          <w:highlight w:val="none"/>
          <w:u w:val="single"/>
        </w:rPr>
        <w:t>现场办公室</w:t>
      </w:r>
      <w:r>
        <w:rPr>
          <w:rFonts w:hint="eastAsia" w:ascii="宋体" w:hAnsi="宋体" w:eastAsia="宋体" w:cs="宋体"/>
          <w:color w:val="auto"/>
          <w:kern w:val="0"/>
          <w:sz w:val="21"/>
          <w:szCs w:val="21"/>
          <w:highlight w:val="none"/>
          <w:u w:val="single"/>
        </w:rPr>
        <w:t>；</w:t>
      </w:r>
    </w:p>
    <w:p w14:paraId="3FE7040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发包人指定的接收人为：</w:t>
      </w:r>
      <w:r>
        <w:rPr>
          <w:rFonts w:hint="eastAsia" w:ascii="宋体" w:hAnsi="宋体" w:eastAsia="宋体" w:cs="宋体"/>
          <w:bCs/>
          <w:color w:val="auto"/>
          <w:sz w:val="21"/>
          <w:szCs w:val="21"/>
          <w:highlight w:val="none"/>
          <w:u w:val="single"/>
        </w:rPr>
        <w:t>发包人代表或其授权代表</w:t>
      </w:r>
      <w:r>
        <w:rPr>
          <w:rFonts w:hint="eastAsia" w:ascii="宋体" w:hAnsi="宋体" w:eastAsia="宋体" w:cs="宋体"/>
          <w:color w:val="auto"/>
          <w:kern w:val="0"/>
          <w:sz w:val="21"/>
          <w:szCs w:val="21"/>
          <w:highlight w:val="none"/>
          <w:u w:val="single"/>
        </w:rPr>
        <w:t>。</w:t>
      </w:r>
    </w:p>
    <w:p w14:paraId="15F1883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承包人接收文件的地点：</w:t>
      </w:r>
      <w:r>
        <w:rPr>
          <w:rFonts w:hint="eastAsia" w:ascii="宋体" w:hAnsi="宋体" w:eastAsia="宋体" w:cs="宋体"/>
          <w:bCs/>
          <w:color w:val="auto"/>
          <w:sz w:val="21"/>
          <w:szCs w:val="21"/>
          <w:highlight w:val="none"/>
          <w:u w:val="single"/>
        </w:rPr>
        <w:t>现场办公室</w:t>
      </w:r>
      <w:r>
        <w:rPr>
          <w:rFonts w:hint="eastAsia" w:ascii="宋体" w:hAnsi="宋体" w:eastAsia="宋体" w:cs="宋体"/>
          <w:color w:val="auto"/>
          <w:kern w:val="0"/>
          <w:sz w:val="21"/>
          <w:szCs w:val="21"/>
          <w:highlight w:val="none"/>
          <w:u w:val="single"/>
        </w:rPr>
        <w:t>；</w:t>
      </w:r>
    </w:p>
    <w:p w14:paraId="7517F51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承包人指定的接收人为：</w:t>
      </w:r>
      <w:r>
        <w:rPr>
          <w:rFonts w:hint="eastAsia" w:ascii="宋体" w:hAnsi="宋体" w:eastAsia="宋体" w:cs="宋体"/>
          <w:bCs/>
          <w:color w:val="auto"/>
          <w:sz w:val="21"/>
          <w:szCs w:val="21"/>
          <w:highlight w:val="none"/>
          <w:u w:val="single"/>
        </w:rPr>
        <w:t>项目经理或其授权代表</w:t>
      </w:r>
      <w:r>
        <w:rPr>
          <w:rFonts w:hint="eastAsia" w:ascii="宋体" w:hAnsi="宋体" w:eastAsia="宋体" w:cs="宋体"/>
          <w:color w:val="auto"/>
          <w:kern w:val="0"/>
          <w:sz w:val="21"/>
          <w:szCs w:val="21"/>
          <w:highlight w:val="none"/>
          <w:u w:val="single"/>
        </w:rPr>
        <w:t>。</w:t>
      </w:r>
    </w:p>
    <w:p w14:paraId="1FD7946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监理人接收文件的地点：</w:t>
      </w:r>
      <w:r>
        <w:rPr>
          <w:rFonts w:hint="eastAsia" w:ascii="宋体" w:hAnsi="宋体" w:eastAsia="宋体" w:cs="宋体"/>
          <w:bCs/>
          <w:color w:val="auto"/>
          <w:sz w:val="21"/>
          <w:szCs w:val="21"/>
          <w:highlight w:val="none"/>
          <w:u w:val="single"/>
        </w:rPr>
        <w:t>现场办公室</w:t>
      </w:r>
      <w:r>
        <w:rPr>
          <w:rFonts w:hint="eastAsia" w:ascii="宋体" w:hAnsi="宋体" w:eastAsia="宋体" w:cs="宋体"/>
          <w:color w:val="auto"/>
          <w:kern w:val="0"/>
          <w:sz w:val="21"/>
          <w:szCs w:val="21"/>
          <w:highlight w:val="none"/>
          <w:u w:val="single"/>
        </w:rPr>
        <w:t>；</w:t>
      </w:r>
    </w:p>
    <w:p w14:paraId="2A99DD3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监理人指定的接收人为：</w:t>
      </w:r>
      <w:r>
        <w:rPr>
          <w:rFonts w:hint="eastAsia" w:ascii="宋体" w:hAnsi="宋体" w:eastAsia="宋体" w:cs="宋体"/>
          <w:bCs/>
          <w:color w:val="auto"/>
          <w:sz w:val="21"/>
          <w:szCs w:val="21"/>
          <w:highlight w:val="none"/>
          <w:u w:val="single"/>
        </w:rPr>
        <w:t>总监理工程师或其授权代表</w:t>
      </w:r>
      <w:r>
        <w:rPr>
          <w:rFonts w:hint="eastAsia" w:ascii="宋体" w:hAnsi="宋体" w:eastAsia="宋体" w:cs="宋体"/>
          <w:color w:val="auto"/>
          <w:kern w:val="0"/>
          <w:sz w:val="21"/>
          <w:szCs w:val="21"/>
          <w:highlight w:val="none"/>
          <w:u w:val="single"/>
        </w:rPr>
        <w:t>。</w:t>
      </w:r>
    </w:p>
    <w:p w14:paraId="732F28A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 交通运输</w:t>
      </w:r>
    </w:p>
    <w:p w14:paraId="2281461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86" w:name="_Toc300934943"/>
      <w:bookmarkStart w:id="87" w:name="_Toc312677986"/>
      <w:bookmarkStart w:id="88" w:name="_Toc303539100"/>
      <w:bookmarkStart w:id="89" w:name="_Toc318581155"/>
      <w:bookmarkStart w:id="90" w:name="_Toc304295521"/>
      <w:r>
        <w:rPr>
          <w:rFonts w:hint="eastAsia" w:ascii="宋体" w:hAnsi="宋体" w:eastAsia="宋体" w:cs="宋体"/>
          <w:color w:val="auto"/>
          <w:sz w:val="21"/>
          <w:szCs w:val="21"/>
          <w:highlight w:val="none"/>
        </w:rPr>
        <w:t>.10.1 出入现场的权利</w:t>
      </w:r>
    </w:p>
    <w:p w14:paraId="7428BFE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关于出入现场的权利的约定：</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bookmarkEnd w:id="86"/>
    <w:bookmarkEnd w:id="87"/>
    <w:bookmarkEnd w:id="88"/>
    <w:bookmarkEnd w:id="89"/>
    <w:bookmarkEnd w:id="90"/>
    <w:p w14:paraId="2654496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91" w:name="_Toc312677987"/>
      <w:bookmarkStart w:id="92" w:name="_Toc318581156"/>
      <w:bookmarkStart w:id="93" w:name="_Toc304295522"/>
      <w:bookmarkStart w:id="94" w:name="_Toc300934944"/>
      <w:bookmarkStart w:id="95" w:name="_Toc303539101"/>
      <w:r>
        <w:rPr>
          <w:rFonts w:hint="eastAsia" w:ascii="宋体" w:hAnsi="宋体" w:eastAsia="宋体" w:cs="宋体"/>
          <w:color w:val="auto"/>
          <w:sz w:val="21"/>
          <w:szCs w:val="21"/>
          <w:highlight w:val="none"/>
        </w:rPr>
        <w:t>.10.3 场内交通</w:t>
      </w:r>
    </w:p>
    <w:p w14:paraId="10AF48C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关于场外交通和场内交通的边界的约定：</w:t>
      </w:r>
      <w:r>
        <w:rPr>
          <w:rFonts w:hint="eastAsia" w:ascii="宋体" w:hAnsi="宋体" w:eastAsia="宋体" w:cs="宋体"/>
          <w:bCs/>
          <w:color w:val="auto"/>
          <w:sz w:val="21"/>
          <w:szCs w:val="21"/>
          <w:highlight w:val="none"/>
          <w:u w:val="single"/>
        </w:rPr>
        <w:t>以规划总平图红线为边界</w:t>
      </w:r>
      <w:r>
        <w:rPr>
          <w:rFonts w:hint="eastAsia" w:ascii="宋体" w:hAnsi="宋体" w:eastAsia="宋体" w:cs="宋体"/>
          <w:color w:val="auto"/>
          <w:sz w:val="21"/>
          <w:szCs w:val="21"/>
          <w:highlight w:val="none"/>
          <w:u w:val="single"/>
        </w:rPr>
        <w:t>。</w:t>
      </w:r>
    </w:p>
    <w:p w14:paraId="4925DEF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关于发包人向承包人免费提供满足工程施工需要的场内道路和交通设施的约定：</w:t>
      </w:r>
      <w:r>
        <w:rPr>
          <w:rFonts w:hint="eastAsia" w:ascii="宋体" w:hAnsi="宋体" w:eastAsia="宋体" w:cs="宋体"/>
          <w:bCs/>
          <w:color w:val="auto"/>
          <w:sz w:val="21"/>
          <w:szCs w:val="21"/>
          <w:highlight w:val="none"/>
          <w:u w:val="single"/>
        </w:rPr>
        <w:t>以现场实际施工条件为准</w:t>
      </w:r>
      <w:r>
        <w:rPr>
          <w:rFonts w:hint="eastAsia" w:ascii="宋体" w:hAnsi="宋体" w:eastAsia="宋体" w:cs="宋体"/>
          <w:color w:val="auto"/>
          <w:sz w:val="21"/>
          <w:szCs w:val="21"/>
          <w:highlight w:val="none"/>
          <w:u w:val="single"/>
        </w:rPr>
        <w:t>。</w:t>
      </w:r>
      <w:bookmarkEnd w:id="91"/>
      <w:bookmarkEnd w:id="92"/>
      <w:bookmarkEnd w:id="93"/>
      <w:bookmarkEnd w:id="94"/>
      <w:bookmarkEnd w:id="95"/>
      <w:bookmarkStart w:id="96" w:name="_Toc318581157"/>
    </w:p>
    <w:p w14:paraId="7A9182D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1.10.4 超大件和超重件的运输</w:t>
      </w:r>
    </w:p>
    <w:p w14:paraId="529F5C5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运输超大件或超重件所需的道路和桥梁临时加固改造费用和其他有关费用由</w:t>
      </w:r>
      <w:r>
        <w:rPr>
          <w:rFonts w:hint="eastAsia" w:ascii="宋体" w:hAnsi="宋体" w:eastAsia="宋体" w:cs="宋体"/>
          <w:bCs/>
          <w:color w:val="auto"/>
          <w:sz w:val="21"/>
          <w:szCs w:val="21"/>
          <w:highlight w:val="none"/>
        </w:rPr>
        <w:t>承包人</w:t>
      </w:r>
      <w:r>
        <w:rPr>
          <w:rFonts w:hint="eastAsia" w:ascii="宋体" w:hAnsi="宋体" w:eastAsia="宋体" w:cs="宋体"/>
          <w:color w:val="auto"/>
          <w:sz w:val="21"/>
          <w:szCs w:val="21"/>
          <w:highlight w:val="none"/>
        </w:rPr>
        <w:t>承担。</w:t>
      </w:r>
    </w:p>
    <w:bookmarkEnd w:id="96"/>
    <w:p w14:paraId="253D20A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知识产权</w:t>
      </w:r>
    </w:p>
    <w:p w14:paraId="7AD3F0E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Cs/>
          <w:color w:val="auto"/>
          <w:sz w:val="21"/>
          <w:szCs w:val="21"/>
          <w:highlight w:val="none"/>
          <w:u w:val="single"/>
        </w:rPr>
        <w:t>归发包人所有</w:t>
      </w:r>
      <w:r>
        <w:rPr>
          <w:rFonts w:hint="eastAsia" w:ascii="宋体" w:hAnsi="宋体" w:eastAsia="宋体" w:cs="宋体"/>
          <w:color w:val="auto"/>
          <w:sz w:val="21"/>
          <w:szCs w:val="21"/>
          <w:highlight w:val="none"/>
        </w:rPr>
        <w:t>。</w:t>
      </w:r>
    </w:p>
    <w:p w14:paraId="53C8B1C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关于发包人提供的上述文件的使用限制的要求：</w:t>
      </w:r>
      <w:r>
        <w:rPr>
          <w:rFonts w:hint="eastAsia" w:ascii="宋体" w:hAnsi="宋体" w:eastAsia="宋体" w:cs="宋体"/>
          <w:bCs/>
          <w:color w:val="auto"/>
          <w:sz w:val="21"/>
          <w:szCs w:val="21"/>
          <w:highlight w:val="none"/>
          <w:u w:val="single"/>
        </w:rPr>
        <w:t>由发包人和监理人提供的图纸和其他文件未经发包人许可，承包人不得用于或转给第三方，为此承包人自愿按国家有关法律法规和政策及本合同约定履行保密义务，如果对公开有关信息的必要性产生争执，则以发包人的决定为准</w:t>
      </w:r>
      <w:r>
        <w:rPr>
          <w:rFonts w:hint="eastAsia" w:ascii="宋体" w:hAnsi="宋体" w:eastAsia="宋体" w:cs="宋体"/>
          <w:color w:val="auto"/>
          <w:sz w:val="21"/>
          <w:szCs w:val="21"/>
          <w:highlight w:val="none"/>
          <w:u w:val="single"/>
        </w:rPr>
        <w:t>。</w:t>
      </w:r>
    </w:p>
    <w:p w14:paraId="6AB5606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关于承包人为实施工程所编制文件的著作权的归属：</w:t>
      </w:r>
      <w:r>
        <w:rPr>
          <w:rFonts w:hint="eastAsia" w:ascii="宋体" w:hAnsi="宋体" w:eastAsia="宋体" w:cs="宋体"/>
          <w:bCs/>
          <w:color w:val="auto"/>
          <w:sz w:val="21"/>
          <w:szCs w:val="21"/>
          <w:highlight w:val="none"/>
          <w:u w:val="single"/>
        </w:rPr>
        <w:t>归承包人所有</w:t>
      </w:r>
      <w:r>
        <w:rPr>
          <w:rFonts w:hint="eastAsia" w:ascii="宋体" w:hAnsi="宋体" w:eastAsia="宋体" w:cs="宋体"/>
          <w:color w:val="auto"/>
          <w:sz w:val="21"/>
          <w:szCs w:val="21"/>
          <w:highlight w:val="none"/>
          <w:u w:val="single"/>
        </w:rPr>
        <w:t>。</w:t>
      </w:r>
    </w:p>
    <w:p w14:paraId="79C3A99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关于承包人提供的上述文件的使用限制的要求：</w:t>
      </w:r>
      <w:r>
        <w:rPr>
          <w:rFonts w:hint="eastAsia" w:ascii="宋体" w:hAnsi="宋体" w:eastAsia="宋体" w:cs="宋体"/>
          <w:bCs/>
          <w:color w:val="auto"/>
          <w:sz w:val="21"/>
          <w:szCs w:val="21"/>
          <w:highlight w:val="none"/>
          <w:u w:val="single"/>
        </w:rPr>
        <w:t>仅限于此工程项目</w:t>
      </w:r>
      <w:r>
        <w:rPr>
          <w:rFonts w:hint="eastAsia" w:ascii="宋体" w:hAnsi="宋体" w:eastAsia="宋体" w:cs="宋体"/>
          <w:color w:val="auto"/>
          <w:sz w:val="21"/>
          <w:szCs w:val="21"/>
          <w:highlight w:val="none"/>
          <w:u w:val="single"/>
        </w:rPr>
        <w:t>。</w:t>
      </w:r>
    </w:p>
    <w:p w14:paraId="7B6527E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1.11.4 承包人在施工过程中所采用的专利、专有技术、技术秘密的使用费的承担方式：</w:t>
      </w:r>
      <w:r>
        <w:rPr>
          <w:rFonts w:hint="eastAsia" w:ascii="宋体" w:hAnsi="宋体" w:eastAsia="宋体" w:cs="宋体"/>
          <w:bCs/>
          <w:color w:val="auto"/>
          <w:sz w:val="21"/>
          <w:szCs w:val="21"/>
          <w:highlight w:val="none"/>
          <w:u w:val="single"/>
        </w:rPr>
        <w:t>执行通用条款</w:t>
      </w:r>
      <w:r>
        <w:rPr>
          <w:rFonts w:hint="eastAsia" w:ascii="宋体" w:hAnsi="宋体" w:eastAsia="宋体" w:cs="宋体"/>
          <w:color w:val="auto"/>
          <w:kern w:val="0"/>
          <w:sz w:val="21"/>
          <w:szCs w:val="21"/>
          <w:highlight w:val="none"/>
          <w:u w:val="single"/>
        </w:rPr>
        <w:t>。</w:t>
      </w:r>
    </w:p>
    <w:p w14:paraId="6A1EB41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none"/>
        </w:rPr>
        <w:t>1.13 工程量清</w:t>
      </w:r>
      <w:r>
        <w:rPr>
          <w:rFonts w:hint="eastAsia" w:ascii="宋体" w:hAnsi="宋体" w:eastAsia="宋体" w:cs="宋体"/>
          <w:color w:val="auto"/>
          <w:sz w:val="21"/>
          <w:szCs w:val="21"/>
          <w:highlight w:val="none"/>
        </w:rPr>
        <w:t>单错误的修正</w:t>
      </w:r>
    </w:p>
    <w:p w14:paraId="37D0069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出现工程量清单错误时，是否调整合同价格：</w:t>
      </w:r>
      <w:r>
        <w:rPr>
          <w:rFonts w:hint="eastAsia" w:ascii="宋体" w:hAnsi="宋体" w:eastAsia="宋体" w:cs="宋体"/>
          <w:bCs/>
          <w:color w:val="auto"/>
          <w:sz w:val="21"/>
          <w:szCs w:val="21"/>
          <w:highlight w:val="none"/>
          <w:u w:val="single"/>
        </w:rPr>
        <w:t>/</w:t>
      </w:r>
      <w:r>
        <w:rPr>
          <w:rFonts w:hint="eastAsia" w:ascii="宋体" w:hAnsi="宋体" w:eastAsia="宋体" w:cs="宋体"/>
          <w:color w:val="auto"/>
          <w:kern w:val="0"/>
          <w:sz w:val="21"/>
          <w:szCs w:val="21"/>
          <w:highlight w:val="none"/>
        </w:rPr>
        <w:t>。</w:t>
      </w:r>
    </w:p>
    <w:p w14:paraId="34974D4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允许调整合同价格的工程量偏差范围：</w:t>
      </w:r>
      <w:r>
        <w:rPr>
          <w:rFonts w:hint="eastAsia" w:ascii="宋体" w:hAnsi="宋体" w:eastAsia="宋体" w:cs="宋体"/>
          <w:bCs/>
          <w:color w:val="auto"/>
          <w:sz w:val="21"/>
          <w:szCs w:val="21"/>
          <w:highlight w:val="none"/>
          <w:u w:val="single"/>
        </w:rPr>
        <w:t>/</w:t>
      </w:r>
      <w:r>
        <w:rPr>
          <w:rFonts w:hint="eastAsia" w:ascii="宋体" w:hAnsi="宋体" w:eastAsia="宋体" w:cs="宋体"/>
          <w:color w:val="auto"/>
          <w:kern w:val="0"/>
          <w:sz w:val="21"/>
          <w:szCs w:val="21"/>
          <w:highlight w:val="none"/>
        </w:rPr>
        <w:t>。</w:t>
      </w:r>
    </w:p>
    <w:p w14:paraId="07F583FB">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97" w:name="_Toc51164671"/>
      <w:bookmarkStart w:id="98" w:name="_Toc15963"/>
      <w:bookmarkStart w:id="99" w:name="_Toc351203634"/>
      <w:r>
        <w:rPr>
          <w:rFonts w:hint="eastAsia" w:ascii="宋体" w:hAnsi="宋体" w:eastAsia="宋体" w:cs="宋体"/>
          <w:b/>
          <w:color w:val="auto"/>
          <w:kern w:val="0"/>
          <w:sz w:val="21"/>
          <w:szCs w:val="21"/>
          <w:highlight w:val="none"/>
          <w:lang w:val="en-US" w:eastAsia="zh-CN" w:bidi="ar-SA"/>
        </w:rPr>
        <w:t>2</w:t>
      </w:r>
      <w:bookmarkStart w:id="100" w:name="_Toc292559362"/>
      <w:bookmarkStart w:id="101" w:name="_Toc296503157"/>
      <w:bookmarkStart w:id="102" w:name="_Toc296890985"/>
      <w:bookmarkStart w:id="103" w:name="_Toc296346658"/>
      <w:bookmarkStart w:id="104" w:name="_Toc297048343"/>
      <w:bookmarkStart w:id="105" w:name="_Toc296347156"/>
      <w:bookmarkStart w:id="106" w:name="_Toc296944496"/>
      <w:bookmarkStart w:id="107" w:name="_Toc296891197"/>
      <w:bookmarkStart w:id="108" w:name="_Toc292559867"/>
      <w:bookmarkStart w:id="109" w:name="_Toc297120457"/>
      <w:r>
        <w:rPr>
          <w:rFonts w:hint="eastAsia" w:ascii="宋体" w:hAnsi="宋体" w:eastAsia="宋体" w:cs="宋体"/>
          <w:b/>
          <w:color w:val="auto"/>
          <w:kern w:val="0"/>
          <w:sz w:val="21"/>
          <w:szCs w:val="21"/>
          <w:highlight w:val="none"/>
          <w:lang w:val="en-US" w:eastAsia="zh-CN" w:bidi="ar-SA"/>
        </w:rPr>
        <w:t>. 发包人</w:t>
      </w:r>
      <w:bookmarkEnd w:id="97"/>
      <w:bookmarkEnd w:id="98"/>
      <w:bookmarkEnd w:id="99"/>
    </w:p>
    <w:bookmarkEnd w:id="100"/>
    <w:bookmarkEnd w:id="101"/>
    <w:bookmarkEnd w:id="102"/>
    <w:bookmarkEnd w:id="103"/>
    <w:bookmarkEnd w:id="104"/>
    <w:bookmarkEnd w:id="105"/>
    <w:bookmarkEnd w:id="106"/>
    <w:bookmarkEnd w:id="107"/>
    <w:bookmarkEnd w:id="108"/>
    <w:bookmarkEnd w:id="109"/>
    <w:p w14:paraId="0A51A7E5">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发包人代表</w:t>
      </w:r>
    </w:p>
    <w:p w14:paraId="525AE814">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发包人代表：</w:t>
      </w:r>
    </w:p>
    <w:p w14:paraId="3424633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729C6D8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0448354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027E65F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53C3D8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2C7A4DA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2CFAAA4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发包人对发包人代表的授权范围如下：</w:t>
      </w:r>
      <w:r>
        <w:rPr>
          <w:rFonts w:hint="eastAsia" w:ascii="宋体" w:hAnsi="宋体" w:eastAsia="宋体" w:cs="宋体"/>
          <w:bCs/>
          <w:color w:val="auto"/>
          <w:sz w:val="21"/>
          <w:szCs w:val="21"/>
          <w:highlight w:val="none"/>
        </w:rPr>
        <w:t>按发包人要求执行</w:t>
      </w:r>
      <w:r>
        <w:rPr>
          <w:rFonts w:hint="eastAsia" w:ascii="宋体" w:hAnsi="宋体" w:eastAsia="宋体" w:cs="宋体"/>
          <w:color w:val="auto"/>
          <w:sz w:val="21"/>
          <w:szCs w:val="21"/>
          <w:highlight w:val="none"/>
        </w:rPr>
        <w:t>。</w:t>
      </w:r>
    </w:p>
    <w:p w14:paraId="74D44D82">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 施工现场、施工条件和基础资料的提供</w:t>
      </w:r>
    </w:p>
    <w:p w14:paraId="685C59C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2.4.1 提供施工现场</w:t>
      </w:r>
    </w:p>
    <w:p w14:paraId="11CCD06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关于发包人移交施工现场的期限要求：</w:t>
      </w:r>
      <w:r>
        <w:rPr>
          <w:rFonts w:hint="eastAsia" w:ascii="宋体" w:hAnsi="宋体" w:eastAsia="宋体" w:cs="宋体"/>
          <w:bCs/>
          <w:color w:val="auto"/>
          <w:sz w:val="21"/>
          <w:szCs w:val="21"/>
          <w:highlight w:val="none"/>
          <w:u w:val="single"/>
        </w:rPr>
        <w:t>开工前提供，施工现场具备开工条件</w:t>
      </w:r>
      <w:r>
        <w:rPr>
          <w:rFonts w:hint="eastAsia" w:ascii="宋体" w:hAnsi="宋体" w:eastAsia="宋体" w:cs="宋体"/>
          <w:color w:val="auto"/>
          <w:sz w:val="21"/>
          <w:szCs w:val="21"/>
          <w:highlight w:val="none"/>
        </w:rPr>
        <w:t>。</w:t>
      </w:r>
    </w:p>
    <w:p w14:paraId="1337D3A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2.4.2 提供施工条件</w:t>
      </w:r>
    </w:p>
    <w:p w14:paraId="44D25B5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关于发包人应负责提供施工所需要的条件，包括：</w:t>
      </w:r>
      <w:r>
        <w:rPr>
          <w:rFonts w:hint="eastAsia" w:ascii="宋体" w:hAnsi="宋体" w:eastAsia="宋体" w:cs="宋体"/>
          <w:bCs/>
          <w:color w:val="auto"/>
          <w:sz w:val="21"/>
          <w:szCs w:val="21"/>
          <w:highlight w:val="none"/>
          <w:u w:val="single"/>
        </w:rPr>
        <w:t>1、若承包人在施工过程中盗用消防水，所产生的相应责任都由承包人承担；</w:t>
      </w:r>
      <w:r>
        <w:rPr>
          <w:rFonts w:hint="eastAsia" w:ascii="宋体" w:hAnsi="宋体" w:eastAsia="宋体" w:cs="宋体"/>
          <w:bCs/>
          <w:color w:val="auto"/>
          <w:sz w:val="21"/>
          <w:szCs w:val="21"/>
          <w:highlight w:val="none"/>
          <w:u w:val="single"/>
          <w:lang w:val="en-US" w:eastAsia="zh-CN"/>
        </w:rPr>
        <w:t>2</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不提供接水、接电接驳点</w:t>
      </w:r>
      <w:r>
        <w:rPr>
          <w:rFonts w:hint="eastAsia" w:ascii="宋体" w:hAnsi="宋体" w:eastAsia="宋体" w:cs="宋体"/>
          <w:color w:val="auto"/>
          <w:sz w:val="21"/>
          <w:szCs w:val="21"/>
          <w:highlight w:val="none"/>
          <w:u w:val="single"/>
        </w:rPr>
        <w:t>。</w:t>
      </w:r>
    </w:p>
    <w:p w14:paraId="2B5D5B71">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 资金来源证明及支付担保</w:t>
      </w:r>
    </w:p>
    <w:p w14:paraId="73FCC0A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发包人提供资金来源证明的期限要求：</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rPr>
        <w:t>。</w:t>
      </w:r>
    </w:p>
    <w:p w14:paraId="561D3A9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发包人是否提供支付担保：</w:t>
      </w:r>
      <w:r>
        <w:rPr>
          <w:rFonts w:hint="eastAsia" w:ascii="宋体" w:hAnsi="宋体" w:eastAsia="宋体" w:cs="宋体"/>
          <w:bCs/>
          <w:color w:val="auto"/>
          <w:sz w:val="21"/>
          <w:szCs w:val="21"/>
          <w:highlight w:val="none"/>
          <w:u w:val="single"/>
          <w:lang w:val="en-US" w:eastAsia="zh-CN"/>
        </w:rPr>
        <w:t>否</w:t>
      </w:r>
      <w:r>
        <w:rPr>
          <w:rFonts w:hint="eastAsia" w:ascii="宋体" w:hAnsi="宋体" w:eastAsia="宋体" w:cs="宋体"/>
          <w:color w:val="auto"/>
          <w:sz w:val="21"/>
          <w:szCs w:val="21"/>
          <w:highlight w:val="none"/>
        </w:rPr>
        <w:t>。</w:t>
      </w:r>
    </w:p>
    <w:p w14:paraId="770E40D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发包人提供支付担保的形式：</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color w:val="auto"/>
          <w:sz w:val="21"/>
          <w:szCs w:val="21"/>
          <w:highlight w:val="none"/>
        </w:rPr>
        <w:t>。</w:t>
      </w:r>
    </w:p>
    <w:p w14:paraId="362586A1">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110" w:name="_Toc1553"/>
      <w:bookmarkStart w:id="111" w:name="_Toc351203635"/>
      <w:bookmarkStart w:id="112" w:name="_Toc51164672"/>
      <w:r>
        <w:rPr>
          <w:rFonts w:hint="eastAsia" w:ascii="宋体" w:hAnsi="宋体" w:eastAsia="宋体" w:cs="宋体"/>
          <w:b/>
          <w:color w:val="auto"/>
          <w:kern w:val="0"/>
          <w:sz w:val="21"/>
          <w:szCs w:val="21"/>
          <w:highlight w:val="none"/>
          <w:lang w:val="en-US" w:eastAsia="zh-CN" w:bidi="ar-SA"/>
        </w:rPr>
        <w:t>3</w:t>
      </w:r>
      <w:bookmarkStart w:id="113" w:name="_Toc292559363"/>
      <w:bookmarkStart w:id="114" w:name="_Toc296347157"/>
      <w:bookmarkStart w:id="115" w:name="_Toc296891198"/>
      <w:bookmarkStart w:id="116" w:name="_Toc296890986"/>
      <w:bookmarkStart w:id="117" w:name="_Toc296944497"/>
      <w:bookmarkStart w:id="118" w:name="_Toc296503158"/>
      <w:bookmarkStart w:id="119" w:name="_Toc297120458"/>
      <w:bookmarkStart w:id="120" w:name="_Toc296346659"/>
      <w:bookmarkStart w:id="121" w:name="_Toc297048344"/>
      <w:bookmarkStart w:id="122" w:name="_Toc292559868"/>
      <w:r>
        <w:rPr>
          <w:rFonts w:hint="eastAsia" w:ascii="宋体" w:hAnsi="宋体" w:eastAsia="宋体" w:cs="宋体"/>
          <w:b/>
          <w:color w:val="auto"/>
          <w:kern w:val="0"/>
          <w:sz w:val="21"/>
          <w:szCs w:val="21"/>
          <w:highlight w:val="none"/>
          <w:lang w:val="en-US" w:eastAsia="zh-CN" w:bidi="ar-SA"/>
        </w:rPr>
        <w:t>. 承包人</w:t>
      </w:r>
      <w:bookmarkEnd w:id="110"/>
      <w:bookmarkEnd w:id="111"/>
      <w:bookmarkEnd w:id="112"/>
    </w:p>
    <w:bookmarkEnd w:id="113"/>
    <w:bookmarkEnd w:id="114"/>
    <w:bookmarkEnd w:id="115"/>
    <w:bookmarkEnd w:id="116"/>
    <w:bookmarkEnd w:id="117"/>
    <w:bookmarkEnd w:id="118"/>
    <w:bookmarkEnd w:id="119"/>
    <w:bookmarkEnd w:id="120"/>
    <w:bookmarkEnd w:id="121"/>
    <w:bookmarkEnd w:id="122"/>
    <w:p w14:paraId="2A8D2CC6">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承包人的一般义务</w:t>
      </w:r>
    </w:p>
    <w:p w14:paraId="149D5C8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承包人提交的竣工资料的内容：</w:t>
      </w:r>
      <w:r>
        <w:rPr>
          <w:rFonts w:hint="eastAsia" w:ascii="宋体" w:hAnsi="宋体" w:eastAsia="宋体" w:cs="宋体"/>
          <w:bCs/>
          <w:color w:val="auto"/>
          <w:sz w:val="21"/>
          <w:szCs w:val="21"/>
          <w:highlight w:val="none"/>
        </w:rPr>
        <w:t>根据发包人要求编制可提供的全部竣工资料和竣工图，在工程质量竣工验收之前经监理及发包人认可后移交给发包人，若承包人未能及时移交，导致工程质量竣工验收延后，由此造成的工期延误或其他一切损失由承包人承担</w:t>
      </w:r>
      <w:r>
        <w:rPr>
          <w:rFonts w:hint="eastAsia" w:ascii="宋体" w:hAnsi="宋体" w:eastAsia="宋体" w:cs="宋体"/>
          <w:color w:val="auto"/>
          <w:sz w:val="21"/>
          <w:szCs w:val="21"/>
          <w:highlight w:val="none"/>
        </w:rPr>
        <w:t>。</w:t>
      </w:r>
    </w:p>
    <w:p w14:paraId="120F3FA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承包人需要提交的竣工资料套数：</w:t>
      </w:r>
      <w:r>
        <w:rPr>
          <w:rFonts w:hint="eastAsia" w:ascii="宋体" w:hAnsi="宋体" w:eastAsia="宋体" w:cs="宋体"/>
          <w:bCs/>
          <w:color w:val="auto"/>
          <w:sz w:val="21"/>
          <w:szCs w:val="21"/>
          <w:highlight w:val="none"/>
          <w:u w:val="single"/>
        </w:rPr>
        <w:t>一式肆份</w:t>
      </w:r>
      <w:r>
        <w:rPr>
          <w:rFonts w:hint="eastAsia" w:ascii="宋体" w:hAnsi="宋体" w:eastAsia="宋体" w:cs="宋体"/>
          <w:color w:val="auto"/>
          <w:sz w:val="21"/>
          <w:szCs w:val="21"/>
          <w:highlight w:val="none"/>
        </w:rPr>
        <w:t>。</w:t>
      </w:r>
    </w:p>
    <w:p w14:paraId="06FD37F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承包人提交的竣工资料的费用承担：</w:t>
      </w:r>
      <w:r>
        <w:rPr>
          <w:rFonts w:hint="eastAsia" w:ascii="宋体" w:hAnsi="宋体" w:eastAsia="宋体" w:cs="宋体"/>
          <w:bCs/>
          <w:color w:val="auto"/>
          <w:sz w:val="21"/>
          <w:szCs w:val="21"/>
          <w:highlight w:val="none"/>
          <w:u w:val="single"/>
        </w:rPr>
        <w:t>由承包人自行承担</w:t>
      </w:r>
      <w:r>
        <w:rPr>
          <w:rFonts w:hint="eastAsia" w:ascii="宋体" w:hAnsi="宋体" w:eastAsia="宋体" w:cs="宋体"/>
          <w:color w:val="auto"/>
          <w:sz w:val="21"/>
          <w:szCs w:val="21"/>
          <w:highlight w:val="none"/>
        </w:rPr>
        <w:t>。</w:t>
      </w:r>
    </w:p>
    <w:p w14:paraId="627D653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承包人提交的竣工资料移交时间：</w:t>
      </w:r>
      <w:r>
        <w:rPr>
          <w:rFonts w:hint="eastAsia" w:ascii="宋体" w:hAnsi="宋体" w:eastAsia="宋体" w:cs="宋体"/>
          <w:bCs/>
          <w:color w:val="auto"/>
          <w:sz w:val="21"/>
          <w:szCs w:val="21"/>
          <w:highlight w:val="none"/>
          <w:u w:val="single"/>
        </w:rPr>
        <w:t xml:space="preserve">竣工验收合格后 </w:t>
      </w:r>
      <w:r>
        <w:rPr>
          <w:rFonts w:hint="eastAsia" w:ascii="宋体" w:hAnsi="宋体" w:eastAsia="宋体" w:cs="宋体"/>
          <w:bCs/>
          <w:color w:val="auto"/>
          <w:sz w:val="21"/>
          <w:szCs w:val="21"/>
          <w:highlight w:val="none"/>
          <w:u w:val="single"/>
          <w:lang w:val="en-US" w:eastAsia="zh-CN"/>
        </w:rPr>
        <w:t>15</w:t>
      </w:r>
      <w:r>
        <w:rPr>
          <w:rFonts w:hint="eastAsia" w:ascii="宋体" w:hAnsi="宋体" w:eastAsia="宋体" w:cs="宋体"/>
          <w:bCs/>
          <w:color w:val="auto"/>
          <w:sz w:val="21"/>
          <w:szCs w:val="21"/>
          <w:highlight w:val="none"/>
          <w:u w:val="single"/>
        </w:rPr>
        <w:t xml:space="preserve"> 日内</w:t>
      </w:r>
      <w:r>
        <w:rPr>
          <w:rFonts w:hint="eastAsia" w:ascii="宋体" w:hAnsi="宋体" w:eastAsia="宋体" w:cs="宋体"/>
          <w:color w:val="auto"/>
          <w:sz w:val="21"/>
          <w:szCs w:val="21"/>
          <w:highlight w:val="none"/>
          <w:u w:val="single"/>
        </w:rPr>
        <w:t>。</w:t>
      </w:r>
    </w:p>
    <w:p w14:paraId="08C9207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承包人提交的竣工资料形式要求：</w:t>
      </w:r>
      <w:r>
        <w:rPr>
          <w:rFonts w:hint="eastAsia" w:ascii="宋体" w:hAnsi="宋体" w:eastAsia="宋体" w:cs="宋体"/>
          <w:bCs/>
          <w:color w:val="auto"/>
          <w:sz w:val="21"/>
          <w:szCs w:val="21"/>
          <w:highlight w:val="none"/>
          <w:u w:val="single"/>
        </w:rPr>
        <w:t>纸质（装订成册）和电子文件</w:t>
      </w:r>
      <w:r>
        <w:rPr>
          <w:rFonts w:hint="eastAsia" w:ascii="宋体" w:hAnsi="宋体" w:eastAsia="宋体" w:cs="宋体"/>
          <w:color w:val="auto"/>
          <w:sz w:val="21"/>
          <w:szCs w:val="21"/>
          <w:highlight w:val="none"/>
          <w:u w:val="single"/>
        </w:rPr>
        <w:t>。</w:t>
      </w:r>
    </w:p>
    <w:p w14:paraId="3AF014E3">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承包人应履行的其他义务：</w:t>
      </w:r>
    </w:p>
    <w:p w14:paraId="4D7530F9">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一</w:t>
      </w:r>
      <w:r>
        <w:rPr>
          <w:rFonts w:hint="eastAsia" w:ascii="宋体" w:hAnsi="宋体" w:eastAsia="宋体" w:cs="宋体"/>
          <w:bCs/>
          <w:color w:val="auto"/>
          <w:sz w:val="21"/>
          <w:szCs w:val="21"/>
          <w:highlight w:val="none"/>
        </w:rPr>
        <w:t>、承包人在本合同生效后 7 天向监理、发包人提供施工组织设计和施工总进度计划，监理、发包人在 7 天内予以回复。施工组织设计和施工总进度计划经各方确认后，承包人应于 2 天内向各方提供正式的施工组织设计和施工总进度计划。</w:t>
      </w:r>
    </w:p>
    <w:p w14:paraId="71881D4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二、</w:t>
      </w:r>
      <w:r>
        <w:rPr>
          <w:rFonts w:hint="eastAsia" w:ascii="宋体" w:hAnsi="宋体" w:eastAsia="宋体" w:cs="宋体"/>
          <w:bCs/>
          <w:color w:val="auto"/>
          <w:sz w:val="21"/>
          <w:szCs w:val="21"/>
          <w:highlight w:val="none"/>
        </w:rPr>
        <w:t>承包人须负责与当地政府及有关单位联系、安排及协调。根据国家及地方有关规定，由承包人办理有关交通、环卫、环保手续，并承担相关费用，负责协调和处理因施工引起的周边地段民事纠纷，并承担由此发生的费用，包括因承包人责任造成的违约责任和赔偿。</w:t>
      </w:r>
    </w:p>
    <w:p w14:paraId="56CFF18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排污管理：</w:t>
      </w:r>
      <w:r>
        <w:rPr>
          <w:rFonts w:hint="eastAsia" w:ascii="宋体" w:hAnsi="宋体" w:eastAsia="宋体" w:cs="宋体"/>
          <w:bCs/>
          <w:color w:val="auto"/>
          <w:sz w:val="21"/>
          <w:szCs w:val="21"/>
          <w:highlight w:val="none"/>
          <w:u w:val="single"/>
        </w:rPr>
        <w:t>承包人自行办理排污许可证，费用由承包人在</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报价中考虑；</w:t>
      </w:r>
    </w:p>
    <w:p w14:paraId="2A20201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噪声管理：</w:t>
      </w:r>
      <w:r>
        <w:rPr>
          <w:rFonts w:hint="eastAsia" w:ascii="宋体" w:hAnsi="宋体" w:eastAsia="宋体" w:cs="宋体"/>
          <w:bCs/>
          <w:color w:val="auto"/>
          <w:sz w:val="21"/>
          <w:szCs w:val="21"/>
          <w:highlight w:val="none"/>
          <w:u w:val="single"/>
        </w:rPr>
        <w:t>承包人自行办理夜间施工许可证，费用由承包人在</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报价中考虑；施工噪声引起的纠纷由承包人自行解决；</w:t>
      </w:r>
    </w:p>
    <w:p w14:paraId="578D97D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垃圾管理：</w:t>
      </w:r>
      <w:r>
        <w:rPr>
          <w:rFonts w:hint="eastAsia" w:ascii="宋体" w:hAnsi="宋体" w:eastAsia="宋体" w:cs="宋体"/>
          <w:bCs/>
          <w:color w:val="auto"/>
          <w:sz w:val="21"/>
          <w:szCs w:val="21"/>
          <w:highlight w:val="none"/>
          <w:u w:val="single"/>
        </w:rPr>
        <w:t>承包人自行办理垃圾弃置许可证，费用由承包人在</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报价中考虑；</w:t>
      </w:r>
    </w:p>
    <w:p w14:paraId="7321EF4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公共道路占用（若有）：</w:t>
      </w:r>
      <w:r>
        <w:rPr>
          <w:rFonts w:hint="eastAsia" w:ascii="宋体" w:hAnsi="宋体" w:eastAsia="宋体" w:cs="宋体"/>
          <w:bCs/>
          <w:color w:val="auto"/>
          <w:sz w:val="21"/>
          <w:szCs w:val="21"/>
          <w:highlight w:val="none"/>
          <w:u w:val="single"/>
        </w:rPr>
        <w:t>承包人办理占用手续，费用由承包人在</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报价中考虑。</w:t>
      </w:r>
    </w:p>
    <w:p w14:paraId="185DB6B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三、施工场地清洁卫生的要求：按照省、市文件规定的相关要求执行，施工人员进场必须规范着装（包括安全设备、设施），费用由承包人在</w:t>
      </w:r>
      <w:r>
        <w:rPr>
          <w:rFonts w:hint="eastAsia" w:ascii="宋体" w:hAnsi="宋体" w:eastAsia="宋体" w:cs="宋体"/>
          <w:bCs/>
          <w:color w:val="auto"/>
          <w:sz w:val="21"/>
          <w:szCs w:val="21"/>
          <w:highlight w:val="none"/>
          <w:lang w:eastAsia="zh-CN"/>
        </w:rPr>
        <w:t>投标</w:t>
      </w:r>
      <w:r>
        <w:rPr>
          <w:rFonts w:hint="eastAsia" w:ascii="宋体" w:hAnsi="宋体" w:eastAsia="宋体" w:cs="宋体"/>
          <w:bCs/>
          <w:color w:val="auto"/>
          <w:sz w:val="21"/>
          <w:szCs w:val="21"/>
          <w:highlight w:val="none"/>
        </w:rPr>
        <w:t>报价中考虑。禁止在非规定地点大小便、倒垃圾，违者将按发包人施工过程中的相关管理办法或制度承担违约金。</w:t>
      </w:r>
    </w:p>
    <w:p w14:paraId="37B72D0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高（中）考、节假日、市内有关方面重大活动期间或发包人需要的特别时间段内，可能对施工作出某些限制和配合要求，承包人应予无条件服从，并按照有关要求作出必要的配合，这可能造成承包人损失，但发包人将不承担承包人的任何损失。</w:t>
      </w:r>
    </w:p>
    <w:p w14:paraId="7C189CC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五、承包人要加强工程施工车辆的管理，施工车辆不得无故影响道路交通，不得沿途抛洒弃土，保持路面清洁，车辆出入场内场外道路，均应设专人进行路面保洁；渣土车辆在出入市政道路前必须进行冲洗，避免带泥作业和沿路撒泼滴漏等。承包人负责与交警、城管、市政等有关部门联系解决在交通线路上布置限速、禁停等标志、标牌，并根据有关部门要求，安排人员在主要路口疏解汽车、行人交通，其相应手续及费用由承包人承担。</w:t>
      </w:r>
    </w:p>
    <w:p w14:paraId="445505F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六、承包人应与其他专业承包队伍做好协调、配合工作。承包人必须提供施工进度计划表，明确发包人指定</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在各区各层各部位的进场施工、供货时间，在经监理、发包人批准后，承包人应严格按照批准的施工进度安排发包人指定</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进行施工、供货。由于承包人未能及时提供施工条件或配合发包人指定</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进行施工、供货，而造成的工期延误和损失，由承包人承担全部责任。</w:t>
      </w:r>
    </w:p>
    <w:p w14:paraId="2E2083F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七、现场具备施工条件后，承包人应按要求的进度</w:t>
      </w:r>
      <w:r>
        <w:rPr>
          <w:rFonts w:hint="eastAsia" w:ascii="宋体" w:hAnsi="宋体" w:eastAsia="宋体" w:cs="宋体"/>
          <w:bCs/>
          <w:color w:val="auto"/>
          <w:sz w:val="21"/>
          <w:szCs w:val="21"/>
          <w:highlight w:val="none"/>
          <w:lang w:val="en-US" w:eastAsia="zh-CN"/>
        </w:rPr>
        <w:t>及时组织开工，无故拖延工程开工达30日，发包人有权单方解除合同，承包人承担由此产生的一切损失和相关责任。</w:t>
      </w:r>
    </w:p>
    <w:p w14:paraId="62C9707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八、承包人应保证发包人支付的工程款专款专用，不得拖欠民工工资及材料、设备等款项；且按照相关规定向有关部门</w:t>
      </w:r>
      <w:r>
        <w:rPr>
          <w:rFonts w:hint="eastAsia" w:ascii="宋体" w:hAnsi="宋体" w:eastAsia="宋体" w:cs="宋体"/>
          <w:bCs/>
          <w:color w:val="auto"/>
          <w:sz w:val="21"/>
          <w:szCs w:val="21"/>
          <w:highlight w:val="none"/>
          <w:lang w:eastAsia="zh-CN"/>
        </w:rPr>
        <w:t>缴纳</w:t>
      </w:r>
      <w:r>
        <w:rPr>
          <w:rFonts w:hint="eastAsia" w:ascii="宋体" w:hAnsi="宋体" w:eastAsia="宋体" w:cs="宋体"/>
          <w:bCs/>
          <w:color w:val="auto"/>
          <w:sz w:val="21"/>
          <w:szCs w:val="21"/>
          <w:highlight w:val="none"/>
        </w:rPr>
        <w:t>民工工资保证金。承包人必须按国家和地方规定，与每一位建筑工人签订用工合同，及时足额发放工人工资及约定支付材料、设备等款项。否则，承包人无条件同意发包人直接用工程款补足工人工资及材料、设备等款项。并且发包人有权单方面终止合同，并追偿工期违约和信誉等损失。</w:t>
      </w:r>
    </w:p>
    <w:p w14:paraId="42CE21B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九、施工场地周围地下管线和邻近建筑物、构筑物的保护：施工场地周围地下管线和邻近建筑物、构筑物等，承包人不得破坏，否则必须无条件及时修复，并承担由此发生的费用，必须安全文明施工。</w:t>
      </w:r>
    </w:p>
    <w:p w14:paraId="61EC83F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十、本合同工程竣工验收之前，承包人须按国家颁发的竣工验收相关规定、技术档案管理条例、有关部门现行要求编制整理竣工资料和竣工图</w:t>
      </w:r>
      <w:r>
        <w:rPr>
          <w:rFonts w:hint="eastAsia" w:ascii="宋体" w:hAnsi="宋体" w:eastAsia="宋体" w:cs="宋体"/>
          <w:bCs/>
          <w:color w:val="auto"/>
          <w:sz w:val="21"/>
          <w:szCs w:val="21"/>
          <w:highlight w:val="none"/>
          <w:lang w:eastAsia="zh-CN"/>
        </w:rPr>
        <w:t>一式四份</w:t>
      </w:r>
      <w:r>
        <w:rPr>
          <w:rFonts w:hint="eastAsia" w:ascii="宋体" w:hAnsi="宋体" w:eastAsia="宋体" w:cs="宋体"/>
          <w:bCs/>
          <w:color w:val="auto"/>
          <w:sz w:val="21"/>
          <w:szCs w:val="21"/>
          <w:highlight w:val="none"/>
        </w:rPr>
        <w:t>及发包人、监理单位需要提供的其他资料，移交给发包人和有关部门。竣工图的整理、装订、移交等费用由承包人承担。</w:t>
      </w:r>
    </w:p>
    <w:p w14:paraId="33021F2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一、在发包人提供了符合规定的开工手续后，承包人应具备维护施工现场正常施工秩序的能力，防止施工过程中的“扰民”和“民扰”；在工程建设过程中，承包人对外发生的任何纠纷与交涉以及造成的损失，均由承包人自行解决并承担相应费用，发包人不承担任何责任；如需发包人进行协调，则协调发生的费用由承包人承担。因对外纠纷或其他人员阻挠而延误的工期不予顺延。</w:t>
      </w:r>
    </w:p>
    <w:p w14:paraId="64D9833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十二、承包人不得损坏发包人提供的相关设施，如有损坏需按原价赔偿，并承担由此产生的一切责任。</w:t>
      </w:r>
    </w:p>
    <w:p w14:paraId="640206F9">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项目经理</w:t>
      </w:r>
    </w:p>
    <w:p w14:paraId="6BFBB6B8">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3.2.1 </w:t>
      </w:r>
      <w:r>
        <w:rPr>
          <w:rFonts w:hint="eastAsia" w:ascii="宋体" w:hAnsi="宋体" w:eastAsia="宋体" w:cs="宋体"/>
          <w:color w:val="auto"/>
          <w:sz w:val="21"/>
          <w:szCs w:val="21"/>
          <w:highlight w:val="none"/>
        </w:rPr>
        <w:t>项目经理：</w:t>
      </w:r>
    </w:p>
    <w:p w14:paraId="2523920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676190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0DE4899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建造师执业资格等级：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C77848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建造师注册证书号：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01A4988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建造师执业印章号：</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4D3A372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安全生产考核合格证书号：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2C35ED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7858A46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6AFAC14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4A21FB5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承包人对项目经理的授权范围如下：</w:t>
      </w:r>
      <w:r>
        <w:rPr>
          <w:rFonts w:hint="eastAsia" w:ascii="宋体" w:hAnsi="宋体" w:eastAsia="宋体" w:cs="宋体"/>
          <w:bCs/>
          <w:color w:val="auto"/>
          <w:sz w:val="21"/>
          <w:szCs w:val="21"/>
          <w:highlight w:val="none"/>
        </w:rPr>
        <w:t>代表承包人行使合同约定的权利和义务，履行合同约定的各项职责</w:t>
      </w:r>
      <w:r>
        <w:rPr>
          <w:rFonts w:hint="eastAsia" w:ascii="宋体" w:hAnsi="宋体" w:eastAsia="宋体" w:cs="宋体"/>
          <w:color w:val="auto"/>
          <w:sz w:val="21"/>
          <w:szCs w:val="21"/>
          <w:highlight w:val="none"/>
        </w:rPr>
        <w:t>。</w:t>
      </w:r>
    </w:p>
    <w:p w14:paraId="3638B93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关于项目经理每月在施工现场的时间要求：</w:t>
      </w:r>
      <w:r>
        <w:rPr>
          <w:rFonts w:hint="eastAsia" w:ascii="宋体" w:hAnsi="宋体" w:eastAsia="宋体" w:cs="宋体"/>
          <w:bCs/>
          <w:color w:val="auto"/>
          <w:sz w:val="21"/>
          <w:szCs w:val="21"/>
          <w:highlight w:val="none"/>
        </w:rPr>
        <w:t>项目经理每周到岗天数不少于5日，每日工作时间不低于6小时，并24小时</w:t>
      </w:r>
      <w:r>
        <w:rPr>
          <w:rFonts w:hint="eastAsia" w:ascii="宋体" w:hAnsi="宋体" w:eastAsia="宋体" w:cs="宋体"/>
          <w:bCs/>
          <w:color w:val="auto"/>
          <w:sz w:val="21"/>
          <w:szCs w:val="21"/>
          <w:highlight w:val="none"/>
          <w:lang w:eastAsia="zh-CN"/>
        </w:rPr>
        <w:t>保持通信畅通</w:t>
      </w:r>
      <w:r>
        <w:rPr>
          <w:rFonts w:hint="eastAsia" w:ascii="宋体" w:hAnsi="宋体" w:eastAsia="宋体" w:cs="宋体"/>
          <w:bCs/>
          <w:color w:val="auto"/>
          <w:sz w:val="21"/>
          <w:szCs w:val="21"/>
          <w:highlight w:val="none"/>
        </w:rPr>
        <w:t>；同时必须按规定参加工程例会及其他会议</w:t>
      </w:r>
      <w:r>
        <w:rPr>
          <w:rFonts w:hint="eastAsia" w:ascii="宋体" w:hAnsi="宋体" w:eastAsia="宋体" w:cs="宋体"/>
          <w:color w:val="auto"/>
          <w:sz w:val="21"/>
          <w:szCs w:val="21"/>
          <w:highlight w:val="none"/>
        </w:rPr>
        <w:t>。</w:t>
      </w:r>
    </w:p>
    <w:p w14:paraId="7489116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承包人未提交劳动合同，以及没有为项目经理缴纳社会保险证明的违约责任：</w:t>
      </w:r>
      <w:r>
        <w:rPr>
          <w:rFonts w:hint="eastAsia" w:ascii="宋体" w:hAnsi="宋体" w:eastAsia="宋体" w:cs="宋体"/>
          <w:bCs/>
          <w:color w:val="auto"/>
          <w:sz w:val="21"/>
          <w:szCs w:val="21"/>
          <w:highlight w:val="none"/>
        </w:rPr>
        <w:t>由承包人承担</w:t>
      </w:r>
      <w:r>
        <w:rPr>
          <w:rFonts w:hint="eastAsia" w:ascii="宋体" w:hAnsi="宋体" w:eastAsia="宋体" w:cs="宋体"/>
          <w:color w:val="auto"/>
          <w:sz w:val="21"/>
          <w:szCs w:val="21"/>
          <w:highlight w:val="none"/>
        </w:rPr>
        <w:t>。</w:t>
      </w:r>
    </w:p>
    <w:p w14:paraId="43CAF45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项目经理未经批准，擅自离开施工现场的违约责任：</w:t>
      </w:r>
      <w:r>
        <w:rPr>
          <w:rFonts w:hint="eastAsia" w:ascii="宋体" w:hAnsi="宋体" w:eastAsia="宋体" w:cs="宋体"/>
          <w:bCs/>
          <w:color w:val="auto"/>
          <w:sz w:val="21"/>
          <w:szCs w:val="21"/>
          <w:highlight w:val="none"/>
        </w:rPr>
        <w:t>由发包人与监理人对项目经理进行考核，如低于上述规定的天数和工作时间，作违约处理，承包人向发包人支付违约金</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000元/天；规定参加工程例会必须准时到场，项目经理不到场支付</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000元/次的违约金，无故迟到</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00元/次，有事必须出具书面请假条报监理人认可；以上情况若连续超过两次，按照上述标准的双倍支付违约金，若出现上述情形累计超过十次的，发包人有权解除合同，将承包人清退出场，同时不免除承包人应当承担的相应违约责任。项目经理确需离开施工现场时，应事先征得监理工程师同意</w:t>
      </w:r>
      <w:r>
        <w:rPr>
          <w:rFonts w:hint="eastAsia" w:ascii="宋体" w:hAnsi="宋体" w:eastAsia="宋体" w:cs="宋体"/>
          <w:color w:val="auto"/>
          <w:sz w:val="21"/>
          <w:szCs w:val="21"/>
          <w:highlight w:val="none"/>
        </w:rPr>
        <w:t>。</w:t>
      </w:r>
    </w:p>
    <w:p w14:paraId="5563158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3.2.3 承包人擅自更换项目经理的违约责任：</w:t>
      </w:r>
      <w:r>
        <w:rPr>
          <w:rFonts w:hint="eastAsia" w:ascii="宋体" w:hAnsi="宋体" w:eastAsia="宋体" w:cs="宋体"/>
          <w:bCs/>
          <w:color w:val="auto"/>
          <w:sz w:val="21"/>
          <w:szCs w:val="21"/>
          <w:highlight w:val="none"/>
        </w:rPr>
        <w:t>本工程中标的项目经理不得更换，如承包人擅自更换，则发包人有权解除合同。如确有特殊原因需更换项目经理，需承担违约金</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万元并经发包人同意(意外事故、突发重病等发包人认可的特殊原因除外)，且更换后的项目经理资历条件不得低于原中标项目经理，且符合原招标公告中的业绩要求</w:t>
      </w:r>
      <w:r>
        <w:rPr>
          <w:rFonts w:hint="eastAsia" w:ascii="宋体" w:hAnsi="宋体" w:eastAsia="宋体" w:cs="宋体"/>
          <w:color w:val="auto"/>
          <w:sz w:val="21"/>
          <w:szCs w:val="21"/>
          <w:highlight w:val="none"/>
        </w:rPr>
        <w:t>。</w:t>
      </w:r>
    </w:p>
    <w:p w14:paraId="5330727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3.2.4 承包人无正当理由拒绝更换项目经理的违约责任：</w:t>
      </w:r>
      <w:r>
        <w:rPr>
          <w:rFonts w:hint="eastAsia" w:ascii="宋体" w:hAnsi="宋体" w:eastAsia="宋体" w:cs="宋体"/>
          <w:bCs/>
          <w:color w:val="auto"/>
          <w:sz w:val="21"/>
          <w:szCs w:val="21"/>
          <w:highlight w:val="none"/>
        </w:rPr>
        <w:t>发包人有证据确认本工程中标的项目经理无法胜任或者不能积极配合监理人及发包人正常工作的，经发包人提出后，必须在 3日内调离本工程，同时承包人应在 3 日内用发包人批准的项目经理代替上述调离的中标项目经理，否则向发包人支付 1000</w:t>
      </w:r>
      <w:r>
        <w:rPr>
          <w:rFonts w:hint="eastAsia" w:ascii="宋体" w:hAnsi="宋体" w:eastAsia="宋体" w:cs="宋体"/>
          <w:bCs/>
          <w:color w:val="auto"/>
          <w:sz w:val="21"/>
          <w:szCs w:val="21"/>
          <w:highlight w:val="none"/>
          <w:lang w:val="en-US" w:eastAsia="zh-CN"/>
        </w:rPr>
        <w:t>0</w:t>
      </w:r>
      <w:r>
        <w:rPr>
          <w:rFonts w:hint="eastAsia" w:ascii="宋体" w:hAnsi="宋体" w:eastAsia="宋体" w:cs="宋体"/>
          <w:bCs/>
          <w:color w:val="auto"/>
          <w:sz w:val="21"/>
          <w:szCs w:val="21"/>
          <w:highlight w:val="none"/>
        </w:rPr>
        <w:t>元/天违约金；若拒不整改，发包人有权解除合同，将承包人清退出场，解除合同的同时不免除承包人应当承担的上述违约责任</w:t>
      </w:r>
      <w:r>
        <w:rPr>
          <w:rFonts w:hint="eastAsia" w:ascii="宋体" w:hAnsi="宋体" w:eastAsia="宋体" w:cs="宋体"/>
          <w:color w:val="auto"/>
          <w:sz w:val="21"/>
          <w:szCs w:val="21"/>
          <w:highlight w:val="none"/>
        </w:rPr>
        <w:t>。</w:t>
      </w:r>
    </w:p>
    <w:p w14:paraId="6621EA3F">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 承包人人员</w:t>
      </w:r>
    </w:p>
    <w:p w14:paraId="233B501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3.3.1 承包人提交项目管理机构及施工现场管理人员安排报告的期限：</w:t>
      </w:r>
      <w:r>
        <w:rPr>
          <w:rFonts w:hint="eastAsia" w:ascii="宋体" w:hAnsi="宋体" w:eastAsia="宋体" w:cs="宋体"/>
          <w:bCs/>
          <w:color w:val="auto"/>
          <w:sz w:val="21"/>
          <w:szCs w:val="21"/>
          <w:highlight w:val="none"/>
          <w:u w:val="single"/>
        </w:rPr>
        <w:t>开工前7天</w:t>
      </w:r>
      <w:r>
        <w:rPr>
          <w:rFonts w:hint="eastAsia" w:ascii="宋体" w:hAnsi="宋体" w:eastAsia="宋体" w:cs="宋体"/>
          <w:color w:val="auto"/>
          <w:sz w:val="21"/>
          <w:szCs w:val="21"/>
          <w:highlight w:val="none"/>
          <w:u w:val="single"/>
        </w:rPr>
        <w:t>。</w:t>
      </w:r>
    </w:p>
    <w:p w14:paraId="4482157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3.3.3 承包人无正当理由拒绝撤换主要施工管理人员的违约责任：</w:t>
      </w:r>
      <w:r>
        <w:rPr>
          <w:rFonts w:hint="eastAsia" w:ascii="宋体" w:hAnsi="宋体" w:eastAsia="宋体" w:cs="宋体"/>
          <w:bCs/>
          <w:color w:val="auto"/>
          <w:sz w:val="21"/>
          <w:szCs w:val="21"/>
          <w:highlight w:val="none"/>
          <w:u w:val="single"/>
        </w:rPr>
        <w:t>（1）技术负责人、施工员、安全员和材料员每周到岗天数不少于 5 日，每日工作时间不低于 6 小时，并 24 小时</w:t>
      </w:r>
      <w:r>
        <w:rPr>
          <w:rFonts w:hint="eastAsia" w:ascii="宋体" w:hAnsi="宋体" w:eastAsia="宋体" w:cs="宋体"/>
          <w:bCs/>
          <w:color w:val="auto"/>
          <w:sz w:val="21"/>
          <w:szCs w:val="21"/>
          <w:highlight w:val="none"/>
          <w:u w:val="single"/>
          <w:lang w:eastAsia="zh-CN"/>
        </w:rPr>
        <w:t>保持通信畅通</w:t>
      </w:r>
      <w:r>
        <w:rPr>
          <w:rFonts w:hint="eastAsia" w:ascii="宋体" w:hAnsi="宋体" w:eastAsia="宋体" w:cs="宋体"/>
          <w:bCs/>
          <w:color w:val="auto"/>
          <w:sz w:val="21"/>
          <w:szCs w:val="21"/>
          <w:highlight w:val="none"/>
          <w:u w:val="single"/>
        </w:rPr>
        <w:t>；同时必须按规定参加工程例会及其他会议；（2）发包人有证据确认本工程</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书中的各主要施工管理人员（技术负责人、施工员、安全员、质量员和材料员）无法胜任或者不能积极配合监理人及发包人正常工作的， 经发包人提出后， 必须在3日内调离本工程， 同时承包人应在 3 日内用发包人批准的上述各主要施工管理人员代替上述调离的主要施工管理人员，否则向发包人支付500元/人天违约金</w:t>
      </w:r>
      <w:r>
        <w:rPr>
          <w:rFonts w:hint="eastAsia" w:ascii="宋体" w:hAnsi="宋体" w:eastAsia="宋体" w:cs="宋体"/>
          <w:color w:val="auto"/>
          <w:sz w:val="21"/>
          <w:szCs w:val="21"/>
          <w:highlight w:val="none"/>
          <w:u w:val="single"/>
        </w:rPr>
        <w:t>。</w:t>
      </w:r>
    </w:p>
    <w:p w14:paraId="4AC44E3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3.3.4 承包人主要施工管理人员离开施工现场的批准要求</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主要施工管理人员确需离开施工现场时，应事先通知监理人。</w:t>
      </w:r>
    </w:p>
    <w:p w14:paraId="607BB3B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3.3.5 承包人擅自更换主要施工管理人员的违约责任：</w:t>
      </w:r>
      <w:r>
        <w:rPr>
          <w:rFonts w:hint="eastAsia" w:ascii="宋体" w:hAnsi="宋体" w:eastAsia="宋体" w:cs="宋体"/>
          <w:bCs/>
          <w:color w:val="auto"/>
          <w:sz w:val="21"/>
          <w:szCs w:val="21"/>
          <w:highlight w:val="none"/>
        </w:rPr>
        <w:t>发包人要求</w:t>
      </w:r>
      <w:r>
        <w:rPr>
          <w:rFonts w:hint="eastAsia" w:ascii="宋体" w:hAnsi="宋体" w:eastAsia="宋体" w:cs="宋体"/>
          <w:bCs/>
          <w:color w:val="auto"/>
          <w:sz w:val="21"/>
          <w:szCs w:val="21"/>
          <w:highlight w:val="none"/>
          <w:lang w:eastAsia="zh-CN"/>
        </w:rPr>
        <w:t>投标</w:t>
      </w:r>
      <w:r>
        <w:rPr>
          <w:rFonts w:hint="eastAsia" w:ascii="宋体" w:hAnsi="宋体" w:eastAsia="宋体" w:cs="宋体"/>
          <w:bCs/>
          <w:color w:val="auto"/>
          <w:sz w:val="21"/>
          <w:szCs w:val="21"/>
          <w:highlight w:val="none"/>
        </w:rPr>
        <w:t>书中的技术负责人、施工员、安全员、质量员和材料员到位，中途若更换，须经发包人同意(意外事故、突发重病等发包人认可的特殊原因除外)并承担违约金：</w:t>
      </w:r>
      <w:r>
        <w:rPr>
          <w:rFonts w:hint="eastAsia" w:ascii="宋体" w:hAnsi="宋体" w:eastAsia="宋体" w:cs="宋体"/>
          <w:bCs/>
          <w:color w:val="auto"/>
          <w:sz w:val="21"/>
          <w:szCs w:val="21"/>
          <w:highlight w:val="none"/>
          <w:u w:val="single"/>
        </w:rPr>
        <w:t>技术负责人</w:t>
      </w:r>
      <w:r>
        <w:rPr>
          <w:rFonts w:hint="eastAsia" w:ascii="宋体" w:hAnsi="宋体" w:eastAsia="宋体" w:cs="宋体"/>
          <w:bCs/>
          <w:color w:val="auto"/>
          <w:sz w:val="21"/>
          <w:szCs w:val="21"/>
          <w:highlight w:val="none"/>
          <w:u w:val="single"/>
          <w:lang w:val="en-US" w:eastAsia="zh-CN"/>
        </w:rPr>
        <w:t>2</w:t>
      </w:r>
      <w:r>
        <w:rPr>
          <w:rFonts w:hint="eastAsia" w:ascii="宋体" w:hAnsi="宋体" w:eastAsia="宋体" w:cs="宋体"/>
          <w:bCs/>
          <w:color w:val="auto"/>
          <w:sz w:val="21"/>
          <w:szCs w:val="21"/>
          <w:highlight w:val="none"/>
          <w:u w:val="single"/>
        </w:rPr>
        <w:t>万元、其余人员</w:t>
      </w:r>
      <w:r>
        <w:rPr>
          <w:rFonts w:hint="eastAsia" w:ascii="宋体" w:hAnsi="宋体" w:eastAsia="宋体" w:cs="宋体"/>
          <w:bCs/>
          <w:color w:val="auto"/>
          <w:sz w:val="21"/>
          <w:szCs w:val="21"/>
          <w:highlight w:val="none"/>
          <w:u w:val="single"/>
          <w:lang w:val="en-US" w:eastAsia="zh-CN"/>
        </w:rPr>
        <w:t>1</w:t>
      </w:r>
      <w:r>
        <w:rPr>
          <w:rFonts w:hint="eastAsia" w:ascii="宋体" w:hAnsi="宋体" w:eastAsia="宋体" w:cs="宋体"/>
          <w:bCs/>
          <w:color w:val="auto"/>
          <w:sz w:val="21"/>
          <w:szCs w:val="21"/>
          <w:highlight w:val="none"/>
          <w:u w:val="single"/>
        </w:rPr>
        <w:t>万元/人；若擅自更换，发包人有权单方解除合同</w:t>
      </w:r>
      <w:r>
        <w:rPr>
          <w:rFonts w:hint="eastAsia" w:ascii="宋体" w:hAnsi="宋体" w:eastAsia="宋体" w:cs="宋体"/>
          <w:color w:val="auto"/>
          <w:sz w:val="21"/>
          <w:szCs w:val="21"/>
          <w:highlight w:val="none"/>
          <w:u w:val="single"/>
        </w:rPr>
        <w:t>。</w:t>
      </w:r>
    </w:p>
    <w:p w14:paraId="3EF810F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承包人主要施工管理人员擅自离开施工现场的违约责任：</w:t>
      </w:r>
      <w:r>
        <w:rPr>
          <w:rFonts w:hint="eastAsia" w:ascii="宋体" w:hAnsi="宋体" w:eastAsia="宋体" w:cs="宋体"/>
          <w:bCs/>
          <w:color w:val="auto"/>
          <w:sz w:val="21"/>
          <w:szCs w:val="21"/>
          <w:highlight w:val="none"/>
          <w:u w:val="single"/>
        </w:rPr>
        <w:t>由发包人与监理人对本工程</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书中的技术负责人、施工员、安全员、质量员和材料员进行考核，如低于上述规定的天数和工作时间，作违约处理，承包人向发包人支付违约金1000元/天；规定参加工程例会必须准时到场，技术负责人、施工员、安全员、质量员和材料员无故不到场支付1000元/次的违约金，无故迟到200元/次，有事必须出具书面请假条报监理人认可；以上情况若连续超过两次，按照上述标准的双倍支付违约金</w:t>
      </w:r>
      <w:r>
        <w:rPr>
          <w:rFonts w:hint="eastAsia" w:ascii="宋体" w:hAnsi="宋体" w:eastAsia="宋体" w:cs="宋体"/>
          <w:color w:val="auto"/>
          <w:sz w:val="21"/>
          <w:szCs w:val="21"/>
          <w:highlight w:val="none"/>
          <w:u w:val="single"/>
        </w:rPr>
        <w:t>。</w:t>
      </w:r>
    </w:p>
    <w:p w14:paraId="53018F07">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bookmarkStart w:id="123" w:name="_Toc297120459"/>
      <w:bookmarkStart w:id="124" w:name="_Toc296891199"/>
      <w:bookmarkStart w:id="125" w:name="_Toc296503159"/>
      <w:bookmarkStart w:id="126" w:name="_Toc312677988"/>
      <w:bookmarkStart w:id="127" w:name="_Toc292559869"/>
      <w:bookmarkStart w:id="128" w:name="_Toc296346660"/>
      <w:bookmarkStart w:id="129" w:name="_Toc296890987"/>
      <w:bookmarkStart w:id="130" w:name="_Toc292559364"/>
      <w:bookmarkStart w:id="131" w:name="_Toc296347158"/>
      <w:bookmarkStart w:id="132" w:name="_Toc297123492"/>
      <w:bookmarkStart w:id="133" w:name="_Toc304295523"/>
      <w:bookmarkStart w:id="134" w:name="_Toc303539102"/>
      <w:bookmarkStart w:id="135" w:name="_Toc297216151"/>
      <w:bookmarkStart w:id="136" w:name="_Toc300934945"/>
      <w:bookmarkStart w:id="137" w:name="_Toc297048345"/>
      <w:bookmarkStart w:id="138" w:name="_Toc296944498"/>
      <w:r>
        <w:rPr>
          <w:rFonts w:hint="eastAsia" w:ascii="宋体" w:hAnsi="宋体" w:eastAsia="宋体" w:cs="宋体"/>
          <w:color w:val="auto"/>
          <w:sz w:val="21"/>
          <w:szCs w:val="21"/>
          <w:highlight w:val="none"/>
        </w:rPr>
        <w:t>.5 分包</w:t>
      </w:r>
    </w:p>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6F40744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bookmarkStart w:id="139" w:name="_Toc297216152"/>
      <w:bookmarkStart w:id="140" w:name="_Toc296346661"/>
      <w:bookmarkStart w:id="141" w:name="_Toc292559365"/>
      <w:bookmarkStart w:id="142" w:name="_Toc300934946"/>
      <w:bookmarkStart w:id="143" w:name="_Toc304295524"/>
      <w:bookmarkStart w:id="144" w:name="_Toc296347159"/>
      <w:bookmarkStart w:id="145" w:name="_Toc292559870"/>
      <w:bookmarkStart w:id="146" w:name="_Toc312677989"/>
      <w:bookmarkStart w:id="147" w:name="_Toc297123493"/>
      <w:bookmarkStart w:id="148" w:name="_Toc318581158"/>
      <w:bookmarkStart w:id="149" w:name="_Toc296890988"/>
      <w:bookmarkStart w:id="150" w:name="_Toc296944499"/>
      <w:bookmarkStart w:id="151" w:name="_Toc303539103"/>
      <w:bookmarkStart w:id="152" w:name="_Toc296503160"/>
      <w:bookmarkStart w:id="153" w:name="_Toc297120460"/>
      <w:bookmarkStart w:id="154" w:name="_Toc296891200"/>
      <w:bookmarkStart w:id="155" w:name="_Toc297048346"/>
      <w:r>
        <w:rPr>
          <w:rFonts w:hint="eastAsia" w:ascii="宋体" w:hAnsi="宋体" w:eastAsia="宋体" w:cs="宋体"/>
          <w:color w:val="auto"/>
          <w:sz w:val="21"/>
          <w:szCs w:val="21"/>
          <w:highlight w:val="none"/>
        </w:rPr>
        <w:t>.5.1 分包的一般约定</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293AA92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禁止分包的工程包括：</w:t>
      </w:r>
      <w:r>
        <w:rPr>
          <w:rFonts w:hint="eastAsia" w:ascii="宋体" w:hAnsi="宋体" w:eastAsia="宋体" w:cs="宋体"/>
          <w:bCs/>
          <w:color w:val="auto"/>
          <w:sz w:val="21"/>
          <w:szCs w:val="21"/>
          <w:highlight w:val="none"/>
          <w:u w:val="single"/>
        </w:rPr>
        <w:t>本工程严禁分包、转包</w:t>
      </w:r>
      <w:r>
        <w:rPr>
          <w:rFonts w:hint="eastAsia" w:ascii="宋体" w:hAnsi="宋体" w:eastAsia="宋体" w:cs="宋体"/>
          <w:color w:val="auto"/>
          <w:sz w:val="21"/>
          <w:szCs w:val="21"/>
          <w:highlight w:val="none"/>
          <w:u w:val="single"/>
        </w:rPr>
        <w:t>。</w:t>
      </w:r>
    </w:p>
    <w:p w14:paraId="550F9F4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主体结构、关键性工作的范围：</w:t>
      </w:r>
      <w:r>
        <w:rPr>
          <w:rFonts w:hint="eastAsia" w:ascii="宋体" w:hAnsi="宋体" w:eastAsia="宋体" w:cs="宋体"/>
          <w:bCs/>
          <w:color w:val="auto"/>
          <w:sz w:val="21"/>
          <w:szCs w:val="21"/>
          <w:highlight w:val="none"/>
          <w:u w:val="single"/>
        </w:rPr>
        <w:t>本工程严禁分包、转包</w:t>
      </w:r>
      <w:r>
        <w:rPr>
          <w:rFonts w:hint="eastAsia" w:ascii="宋体" w:hAnsi="宋体" w:eastAsia="宋体" w:cs="宋体"/>
          <w:color w:val="auto"/>
          <w:sz w:val="21"/>
          <w:szCs w:val="21"/>
          <w:highlight w:val="none"/>
          <w:u w:val="single"/>
        </w:rPr>
        <w:t>。</w:t>
      </w:r>
      <w:bookmarkStart w:id="156" w:name="_Toc297216153"/>
      <w:bookmarkStart w:id="157" w:name="_Toc297123494"/>
      <w:bookmarkStart w:id="158" w:name="_Toc296503161"/>
      <w:bookmarkStart w:id="159" w:name="_Toc296890989"/>
      <w:bookmarkStart w:id="160" w:name="_Toc296346662"/>
      <w:bookmarkStart w:id="161" w:name="_Toc296891201"/>
      <w:bookmarkStart w:id="162" w:name="_Toc296944500"/>
      <w:bookmarkStart w:id="163" w:name="_Toc297120461"/>
      <w:bookmarkStart w:id="164" w:name="_Toc303539104"/>
      <w:bookmarkStart w:id="165" w:name="_Toc300934947"/>
      <w:bookmarkStart w:id="166" w:name="_Toc297048347"/>
      <w:bookmarkStart w:id="167" w:name="_Toc296347160"/>
      <w:bookmarkStart w:id="168" w:name="_Toc304295525"/>
    </w:p>
    <w:bookmarkEnd w:id="156"/>
    <w:bookmarkEnd w:id="157"/>
    <w:bookmarkEnd w:id="158"/>
    <w:bookmarkEnd w:id="159"/>
    <w:bookmarkEnd w:id="160"/>
    <w:bookmarkEnd w:id="161"/>
    <w:bookmarkEnd w:id="162"/>
    <w:bookmarkEnd w:id="163"/>
    <w:bookmarkEnd w:id="164"/>
    <w:bookmarkEnd w:id="165"/>
    <w:bookmarkEnd w:id="166"/>
    <w:bookmarkEnd w:id="167"/>
    <w:bookmarkEnd w:id="168"/>
    <w:p w14:paraId="786A5612">
      <w:pPr>
        <w:pageBreakBefore w:val="0"/>
        <w:widowControl w:val="0"/>
        <w:kinsoku/>
        <w:wordWrap/>
        <w:overflowPunct/>
        <w:topLinePunct w:val="0"/>
        <w:bidi w:val="0"/>
        <w:snapToGrid/>
        <w:spacing w:line="400" w:lineRule="exact"/>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bookmarkStart w:id="169" w:name="_Toc312677990"/>
      <w:bookmarkStart w:id="170" w:name="_Toc318581159"/>
      <w:r>
        <w:rPr>
          <w:rFonts w:hint="eastAsia" w:ascii="宋体" w:hAnsi="宋体" w:eastAsia="宋体" w:cs="宋体"/>
          <w:color w:val="auto"/>
          <w:sz w:val="21"/>
          <w:szCs w:val="21"/>
          <w:highlight w:val="none"/>
        </w:rPr>
        <w:t>.5.2 分包的确定</w:t>
      </w:r>
    </w:p>
    <w:p w14:paraId="77945A7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允许分包的专业工程包括：</w:t>
      </w:r>
      <w:r>
        <w:rPr>
          <w:rFonts w:hint="eastAsia" w:ascii="宋体" w:hAnsi="宋体" w:eastAsia="宋体" w:cs="宋体"/>
          <w:bCs/>
          <w:color w:val="auto"/>
          <w:sz w:val="21"/>
          <w:szCs w:val="21"/>
          <w:highlight w:val="none"/>
          <w:u w:val="single"/>
        </w:rPr>
        <w:t>本工程严禁分包、转包</w:t>
      </w:r>
      <w:r>
        <w:rPr>
          <w:rFonts w:hint="eastAsia" w:ascii="宋体" w:hAnsi="宋体" w:eastAsia="宋体" w:cs="宋体"/>
          <w:color w:val="auto"/>
          <w:sz w:val="21"/>
          <w:szCs w:val="21"/>
          <w:highlight w:val="none"/>
          <w:u w:val="single"/>
        </w:rPr>
        <w:t>。</w:t>
      </w:r>
    </w:p>
    <w:p w14:paraId="0621E15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其他关于分包的约定：</w:t>
      </w:r>
      <w:r>
        <w:rPr>
          <w:rFonts w:hint="eastAsia" w:ascii="宋体" w:hAnsi="宋体" w:eastAsia="宋体" w:cs="宋体"/>
          <w:bCs/>
          <w:color w:val="auto"/>
          <w:sz w:val="21"/>
          <w:szCs w:val="21"/>
          <w:highlight w:val="none"/>
          <w:u w:val="single"/>
        </w:rPr>
        <w:t>本工程严禁分包、转包</w:t>
      </w:r>
      <w:r>
        <w:rPr>
          <w:rFonts w:hint="eastAsia" w:ascii="宋体" w:hAnsi="宋体" w:eastAsia="宋体" w:cs="宋体"/>
          <w:color w:val="auto"/>
          <w:sz w:val="21"/>
          <w:szCs w:val="21"/>
          <w:highlight w:val="none"/>
          <w:u w:val="single"/>
        </w:rPr>
        <w:t>。</w:t>
      </w:r>
    </w:p>
    <w:p w14:paraId="40ACA6C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3.5.4 分包合同价款</w:t>
      </w:r>
    </w:p>
    <w:p w14:paraId="210C444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关于分包合同价款支付的约定：</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rPr>
        <w:t>。</w:t>
      </w:r>
    </w:p>
    <w:bookmarkEnd w:id="169"/>
    <w:bookmarkEnd w:id="170"/>
    <w:p w14:paraId="566EBD75">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 工程照管与成品、半成品保护</w:t>
      </w:r>
    </w:p>
    <w:p w14:paraId="3D1057E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kern w:val="0"/>
          <w:sz w:val="21"/>
          <w:szCs w:val="21"/>
          <w:highlight w:val="none"/>
          <w:u w:val="single"/>
        </w:rPr>
      </w:pPr>
      <w:r>
        <w:rPr>
          <w:rFonts w:hint="eastAsia" w:ascii="宋体" w:hAnsi="宋体" w:eastAsia="宋体" w:cs="宋体"/>
          <w:color w:val="auto"/>
          <w:kern w:val="0"/>
          <w:sz w:val="21"/>
          <w:szCs w:val="21"/>
          <w:highlight w:val="none"/>
        </w:rPr>
        <w:t>承包人负责照管工程及工程相关的材料、工程设备的起始时间：</w:t>
      </w:r>
      <w:r>
        <w:rPr>
          <w:rFonts w:hint="eastAsia" w:ascii="宋体" w:hAnsi="宋体" w:eastAsia="宋体" w:cs="宋体"/>
          <w:bCs/>
          <w:color w:val="auto"/>
          <w:kern w:val="0"/>
          <w:sz w:val="21"/>
          <w:szCs w:val="21"/>
          <w:highlight w:val="none"/>
          <w:u w:val="single"/>
        </w:rPr>
        <w:t>1、承包人在工程竣工移交前，应做好移交前的成品保护，期间任何成品的破坏，均由承包人无偿修复，并由此承担工期延误和相关责任。</w:t>
      </w:r>
    </w:p>
    <w:p w14:paraId="45223B5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bCs/>
          <w:color w:val="auto"/>
          <w:kern w:val="0"/>
          <w:sz w:val="21"/>
          <w:szCs w:val="21"/>
          <w:highlight w:val="none"/>
        </w:rPr>
        <w:t>2、施工过程中须考虑成品保护措施费用以及材料运输过程中防尘、密闭运输、安全等措施费用、路面清洁、洒水等相关费用及与建设、城管等部门之间的矛盾协调、处罚及应上缴的相关规费等费用，承包人须自行考虑，与发包人无关</w:t>
      </w:r>
      <w:r>
        <w:rPr>
          <w:rFonts w:hint="eastAsia" w:ascii="宋体" w:hAnsi="宋体" w:eastAsia="宋体" w:cs="宋体"/>
          <w:color w:val="auto"/>
          <w:kern w:val="0"/>
          <w:sz w:val="21"/>
          <w:szCs w:val="21"/>
          <w:highlight w:val="none"/>
        </w:rPr>
        <w:t>。</w:t>
      </w:r>
    </w:p>
    <w:p w14:paraId="7EA4C6FA">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0000FF"/>
          <w:sz w:val="21"/>
          <w:szCs w:val="21"/>
          <w:highlight w:val="yellow"/>
        </w:rPr>
      </w:pPr>
      <w:r>
        <w:rPr>
          <w:rFonts w:hint="eastAsia" w:ascii="宋体" w:hAnsi="宋体" w:eastAsia="宋体" w:cs="宋体"/>
          <w:color w:val="0000FF"/>
          <w:sz w:val="21"/>
          <w:szCs w:val="21"/>
          <w:highlight w:val="yellow"/>
        </w:rPr>
        <w:t>3.7 履约担保</w:t>
      </w:r>
    </w:p>
    <w:p w14:paraId="326482DF">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承包人是否提供履约担保：</w:t>
      </w:r>
      <w:r>
        <w:rPr>
          <w:rFonts w:hint="eastAsia" w:ascii="宋体" w:hAnsi="宋体" w:eastAsia="宋体" w:cs="宋体"/>
          <w:bCs/>
          <w:color w:val="auto"/>
          <w:sz w:val="21"/>
          <w:szCs w:val="21"/>
          <w:highlight w:val="none"/>
          <w:u w:val="single"/>
        </w:rPr>
        <w:t>提供</w:t>
      </w:r>
      <w:r>
        <w:rPr>
          <w:rFonts w:hint="eastAsia" w:ascii="宋体" w:hAnsi="宋体" w:eastAsia="宋体" w:cs="宋体"/>
          <w:color w:val="auto"/>
          <w:sz w:val="21"/>
          <w:szCs w:val="21"/>
          <w:highlight w:val="none"/>
        </w:rPr>
        <w:t>。</w:t>
      </w:r>
    </w:p>
    <w:p w14:paraId="35FEB887">
      <w:pPr>
        <w:adjustRightInd w:val="0"/>
        <w:snapToGrid w:val="0"/>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承包人提供履约担保的形式、金额及期限的：</w:t>
      </w:r>
      <w:r>
        <w:rPr>
          <w:rFonts w:hint="eastAsia" w:ascii="宋体" w:hAnsi="宋体" w:eastAsia="宋体" w:cs="宋体"/>
          <w:color w:val="0000FF"/>
          <w:szCs w:val="21"/>
          <w:u w:val="single"/>
        </w:rPr>
        <w:t>合同价款的10%（现金），合同签订前交至甲方指定账户，工程竣工验收合格后一次性退还（不计息）。</w:t>
      </w:r>
    </w:p>
    <w:p w14:paraId="15D3DD8A">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171" w:name="_Toc4675"/>
      <w:bookmarkStart w:id="172" w:name="_Toc351203636"/>
      <w:bookmarkStart w:id="173" w:name="_Toc51164673"/>
      <w:r>
        <w:rPr>
          <w:rFonts w:hint="eastAsia" w:ascii="宋体" w:hAnsi="宋体" w:eastAsia="宋体" w:cs="宋体"/>
          <w:b/>
          <w:color w:val="auto"/>
          <w:kern w:val="0"/>
          <w:sz w:val="21"/>
          <w:szCs w:val="21"/>
          <w:highlight w:val="none"/>
          <w:lang w:val="en-US" w:eastAsia="zh-CN" w:bidi="ar-SA"/>
        </w:rPr>
        <w:t>4</w:t>
      </w:r>
      <w:bookmarkStart w:id="174" w:name="_Toc296347161"/>
      <w:bookmarkStart w:id="175" w:name="_Toc297048348"/>
      <w:bookmarkStart w:id="176" w:name="_Toc296944501"/>
      <w:bookmarkStart w:id="177" w:name="_Toc292559366"/>
      <w:bookmarkStart w:id="178" w:name="_Toc296890990"/>
      <w:bookmarkStart w:id="179" w:name="_Toc297120462"/>
      <w:bookmarkStart w:id="180" w:name="_Toc292559871"/>
      <w:bookmarkStart w:id="181" w:name="_Toc267251413"/>
      <w:bookmarkStart w:id="182" w:name="_Toc296503162"/>
      <w:bookmarkStart w:id="183" w:name="_Toc296891202"/>
      <w:bookmarkStart w:id="184" w:name="_Toc296346663"/>
      <w:r>
        <w:rPr>
          <w:rFonts w:hint="eastAsia" w:ascii="宋体" w:hAnsi="宋体" w:eastAsia="宋体" w:cs="宋体"/>
          <w:b/>
          <w:color w:val="auto"/>
          <w:kern w:val="0"/>
          <w:sz w:val="21"/>
          <w:szCs w:val="21"/>
          <w:highlight w:val="none"/>
          <w:lang w:val="en-US" w:eastAsia="zh-CN" w:bidi="ar-SA"/>
        </w:rPr>
        <w:t>. 监</w:t>
      </w:r>
      <w:bookmarkEnd w:id="174"/>
      <w:bookmarkEnd w:id="175"/>
      <w:bookmarkEnd w:id="176"/>
      <w:bookmarkEnd w:id="177"/>
      <w:bookmarkEnd w:id="178"/>
      <w:bookmarkEnd w:id="179"/>
      <w:bookmarkEnd w:id="180"/>
      <w:bookmarkEnd w:id="181"/>
      <w:bookmarkEnd w:id="182"/>
      <w:bookmarkEnd w:id="183"/>
      <w:bookmarkEnd w:id="184"/>
      <w:r>
        <w:rPr>
          <w:rFonts w:hint="eastAsia" w:ascii="宋体" w:hAnsi="宋体" w:eastAsia="宋体" w:cs="宋体"/>
          <w:b/>
          <w:color w:val="auto"/>
          <w:kern w:val="0"/>
          <w:sz w:val="21"/>
          <w:szCs w:val="21"/>
          <w:highlight w:val="none"/>
          <w:lang w:val="en-US" w:eastAsia="zh-CN" w:bidi="ar-SA"/>
        </w:rPr>
        <w:t>理人</w:t>
      </w:r>
      <w:bookmarkEnd w:id="171"/>
      <w:bookmarkEnd w:id="172"/>
      <w:bookmarkEnd w:id="173"/>
    </w:p>
    <w:p w14:paraId="585FE5B1">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监理人的一般规定</w:t>
      </w:r>
    </w:p>
    <w:p w14:paraId="5FBBF6F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关于监理人的监理内容：</w:t>
      </w:r>
      <w:r>
        <w:rPr>
          <w:rFonts w:hint="eastAsia" w:ascii="宋体" w:hAnsi="宋体" w:eastAsia="宋体" w:cs="宋体"/>
          <w:bCs/>
          <w:color w:val="auto"/>
          <w:sz w:val="21"/>
          <w:szCs w:val="21"/>
          <w:highlight w:val="none"/>
          <w:u w:val="single"/>
        </w:rPr>
        <w:t>按监理合同执行</w:t>
      </w:r>
      <w:r>
        <w:rPr>
          <w:rFonts w:hint="eastAsia" w:ascii="宋体" w:hAnsi="宋体" w:eastAsia="宋体" w:cs="宋体"/>
          <w:color w:val="auto"/>
          <w:sz w:val="21"/>
          <w:szCs w:val="21"/>
          <w:highlight w:val="none"/>
          <w:u w:val="single"/>
        </w:rPr>
        <w:t>。</w:t>
      </w:r>
    </w:p>
    <w:p w14:paraId="6925B60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关于监理人的监理权限：</w:t>
      </w:r>
      <w:r>
        <w:rPr>
          <w:rFonts w:hint="eastAsia" w:ascii="宋体" w:hAnsi="宋体" w:eastAsia="宋体" w:cs="宋体"/>
          <w:bCs/>
          <w:color w:val="auto"/>
          <w:sz w:val="21"/>
          <w:szCs w:val="21"/>
          <w:highlight w:val="none"/>
          <w:u w:val="single"/>
        </w:rPr>
        <w:t>按监理合同执行</w:t>
      </w:r>
      <w:r>
        <w:rPr>
          <w:rFonts w:hint="eastAsia" w:ascii="宋体" w:hAnsi="宋体" w:eastAsia="宋体" w:cs="宋体"/>
          <w:color w:val="auto"/>
          <w:sz w:val="21"/>
          <w:szCs w:val="21"/>
          <w:highlight w:val="none"/>
          <w:u w:val="single"/>
        </w:rPr>
        <w:t>。</w:t>
      </w:r>
    </w:p>
    <w:p w14:paraId="7546A76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关于监理人在施工现场的办公场所、生活场所的提供和费用承担的约定：</w:t>
      </w:r>
      <w:r>
        <w:rPr>
          <w:rFonts w:hint="eastAsia" w:ascii="宋体" w:hAnsi="宋体" w:eastAsia="宋体" w:cs="宋体"/>
          <w:bCs/>
          <w:color w:val="auto"/>
          <w:sz w:val="21"/>
          <w:szCs w:val="21"/>
          <w:highlight w:val="none"/>
          <w:u w:val="single"/>
        </w:rPr>
        <w:t>按监理合同执行</w:t>
      </w:r>
      <w:r>
        <w:rPr>
          <w:rFonts w:hint="eastAsia" w:ascii="宋体" w:hAnsi="宋体" w:eastAsia="宋体" w:cs="宋体"/>
          <w:color w:val="auto"/>
          <w:sz w:val="21"/>
          <w:szCs w:val="21"/>
          <w:highlight w:val="none"/>
          <w:u w:val="single"/>
        </w:rPr>
        <w:t>。</w:t>
      </w:r>
    </w:p>
    <w:p w14:paraId="27C82E91">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监理人员</w:t>
      </w:r>
    </w:p>
    <w:p w14:paraId="652A5C69">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总监理工程师：</w:t>
      </w:r>
    </w:p>
    <w:p w14:paraId="7360F35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0BB5792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410051A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监理工程师执业资格证书号：</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5F32584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46ADCA4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10D9B89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w:t>
      </w:r>
    </w:p>
    <w:p w14:paraId="00C8D7C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关于监理人的其他约定：</w:t>
      </w:r>
      <w:r>
        <w:rPr>
          <w:rFonts w:hint="eastAsia" w:ascii="宋体" w:hAnsi="宋体" w:eastAsia="宋体" w:cs="宋体"/>
          <w:bCs/>
          <w:color w:val="auto"/>
          <w:sz w:val="21"/>
          <w:szCs w:val="21"/>
          <w:highlight w:val="none"/>
        </w:rPr>
        <w:t>按监理合同执行</w:t>
      </w:r>
      <w:r>
        <w:rPr>
          <w:rFonts w:hint="eastAsia" w:ascii="宋体" w:hAnsi="宋体" w:eastAsia="宋体" w:cs="宋体"/>
          <w:color w:val="auto"/>
          <w:sz w:val="21"/>
          <w:szCs w:val="21"/>
          <w:highlight w:val="none"/>
        </w:rPr>
        <w:t>。</w:t>
      </w:r>
    </w:p>
    <w:p w14:paraId="6F29100A">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 商定或确定</w:t>
      </w:r>
    </w:p>
    <w:p w14:paraId="01C9FA03">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bookmarkStart w:id="185" w:name="_Toc267251418"/>
      <w:r>
        <w:rPr>
          <w:rFonts w:hint="eastAsia" w:ascii="宋体" w:hAnsi="宋体" w:eastAsia="宋体" w:cs="宋体"/>
          <w:color w:val="auto"/>
          <w:sz w:val="21"/>
          <w:szCs w:val="21"/>
          <w:highlight w:val="none"/>
        </w:rPr>
        <w:t>在发包人和承包人不能通过协商达成一致意见时，发包人授权监理人对以下事项进行确定：</w:t>
      </w:r>
    </w:p>
    <w:p w14:paraId="1B3821C0">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w:t>
      </w:r>
      <w:r>
        <w:rPr>
          <w:rFonts w:hint="eastAsia" w:ascii="宋体" w:hAnsi="宋体" w:eastAsia="宋体" w:cs="宋体"/>
          <w:bCs/>
          <w:color w:val="auto"/>
          <w:sz w:val="21"/>
          <w:szCs w:val="21"/>
          <w:highlight w:val="none"/>
          <w:u w:val="single"/>
        </w:rPr>
        <w:t>另行协商</w:t>
      </w:r>
      <w:r>
        <w:rPr>
          <w:rFonts w:hint="eastAsia" w:ascii="宋体" w:hAnsi="宋体" w:eastAsia="宋体" w:cs="宋体"/>
          <w:color w:val="auto"/>
          <w:sz w:val="21"/>
          <w:szCs w:val="21"/>
          <w:highlight w:val="none"/>
          <w:u w:val="single"/>
        </w:rPr>
        <w:t>；</w:t>
      </w:r>
    </w:p>
    <w:p w14:paraId="7E4F22CE">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（2）</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u w:val="single"/>
        </w:rPr>
        <w:t>；</w:t>
      </w:r>
    </w:p>
    <w:p w14:paraId="32CB67E8">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（3）</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u w:val="single"/>
        </w:rPr>
        <w:t>。</w:t>
      </w:r>
    </w:p>
    <w:p w14:paraId="162826A4">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186" w:name="_Toc351203637"/>
      <w:bookmarkStart w:id="187" w:name="_Toc51164674"/>
      <w:bookmarkStart w:id="188" w:name="_Toc19103"/>
      <w:r>
        <w:rPr>
          <w:rFonts w:hint="eastAsia" w:ascii="宋体" w:hAnsi="宋体" w:eastAsia="宋体" w:cs="宋体"/>
          <w:b/>
          <w:color w:val="auto"/>
          <w:kern w:val="0"/>
          <w:sz w:val="21"/>
          <w:szCs w:val="21"/>
          <w:highlight w:val="none"/>
          <w:lang w:val="en-US" w:eastAsia="zh-CN" w:bidi="ar-SA"/>
        </w:rPr>
        <w:t>5</w:t>
      </w:r>
      <w:bookmarkEnd w:id="185"/>
      <w:bookmarkStart w:id="189" w:name="_Toc292559367"/>
      <w:bookmarkStart w:id="190" w:name="_Toc296347162"/>
      <w:bookmarkStart w:id="191" w:name="_Toc296346664"/>
      <w:bookmarkStart w:id="192" w:name="_Toc297048349"/>
      <w:bookmarkStart w:id="193" w:name="_Toc296890991"/>
      <w:bookmarkStart w:id="194" w:name="_Toc292559872"/>
      <w:bookmarkStart w:id="195" w:name="_Toc296944502"/>
      <w:bookmarkStart w:id="196" w:name="_Toc296503163"/>
      <w:bookmarkStart w:id="197" w:name="_Toc297120463"/>
      <w:bookmarkStart w:id="198" w:name="_Toc296891203"/>
      <w:r>
        <w:rPr>
          <w:rFonts w:hint="eastAsia" w:ascii="宋体" w:hAnsi="宋体" w:eastAsia="宋体" w:cs="宋体"/>
          <w:b/>
          <w:color w:val="auto"/>
          <w:kern w:val="0"/>
          <w:sz w:val="21"/>
          <w:szCs w:val="21"/>
          <w:highlight w:val="none"/>
          <w:lang w:val="en-US" w:eastAsia="zh-CN" w:bidi="ar-SA"/>
        </w:rPr>
        <w:t>. 工程质量</w:t>
      </w:r>
      <w:bookmarkEnd w:id="186"/>
      <w:bookmarkEnd w:id="187"/>
      <w:bookmarkEnd w:id="188"/>
    </w:p>
    <w:p w14:paraId="7018672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质量要求</w:t>
      </w:r>
    </w:p>
    <w:p w14:paraId="01D5BF4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bookmarkStart w:id="199" w:name="_Toc300934949"/>
      <w:bookmarkStart w:id="200" w:name="_Toc312677997"/>
      <w:bookmarkStart w:id="201" w:name="_Toc304295527"/>
      <w:bookmarkStart w:id="202" w:name="_Toc297123496"/>
      <w:bookmarkStart w:id="203" w:name="_Toc303539106"/>
      <w:bookmarkStart w:id="204" w:name="_Toc318581164"/>
      <w:bookmarkStart w:id="205" w:name="_Toc297216155"/>
      <w:r>
        <w:rPr>
          <w:rFonts w:hint="eastAsia" w:ascii="宋体" w:hAnsi="宋体" w:eastAsia="宋体" w:cs="宋体"/>
          <w:color w:val="auto"/>
          <w:sz w:val="21"/>
          <w:szCs w:val="21"/>
          <w:highlight w:val="none"/>
        </w:rPr>
        <w:t>5.1.1 特殊质量标准和要求：</w:t>
      </w:r>
      <w:r>
        <w:rPr>
          <w:rFonts w:hint="eastAsia" w:ascii="宋体" w:hAnsi="宋体" w:eastAsia="宋体" w:cs="宋体"/>
          <w:bCs/>
          <w:color w:val="auto"/>
          <w:sz w:val="21"/>
          <w:szCs w:val="21"/>
          <w:highlight w:val="none"/>
          <w:u w:val="single"/>
          <w:lang w:val="en-US" w:eastAsia="zh-CN"/>
        </w:rPr>
        <w:t>合格</w:t>
      </w:r>
      <w:r>
        <w:rPr>
          <w:rFonts w:hint="eastAsia" w:ascii="宋体" w:hAnsi="宋体" w:eastAsia="宋体" w:cs="宋体"/>
          <w:color w:val="auto"/>
          <w:sz w:val="21"/>
          <w:szCs w:val="21"/>
          <w:highlight w:val="none"/>
        </w:rPr>
        <w:t>。</w:t>
      </w:r>
    </w:p>
    <w:p w14:paraId="0A08A79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关于工程奖项的约定：</w:t>
      </w:r>
      <w:r>
        <w:rPr>
          <w:rFonts w:hint="eastAsia" w:ascii="宋体" w:hAnsi="宋体" w:eastAsia="宋体" w:cs="宋体"/>
          <w:bCs/>
          <w:color w:val="auto"/>
          <w:sz w:val="21"/>
          <w:szCs w:val="21"/>
          <w:highlight w:val="none"/>
          <w:u w:val="single"/>
        </w:rPr>
        <w:t>按照常州市建设局及金坛区住建委的文件规定执行</w:t>
      </w:r>
      <w:r>
        <w:rPr>
          <w:rFonts w:hint="eastAsia" w:ascii="宋体" w:hAnsi="宋体" w:eastAsia="宋体" w:cs="宋体"/>
          <w:color w:val="auto"/>
          <w:sz w:val="21"/>
          <w:szCs w:val="21"/>
          <w:highlight w:val="none"/>
          <w:u w:val="single"/>
        </w:rPr>
        <w:t>。</w:t>
      </w:r>
    </w:p>
    <w:p w14:paraId="0753750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隐蔽工程检查</w:t>
      </w:r>
    </w:p>
    <w:p w14:paraId="23BE76D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5.3.2 承包人提前通知监理人隐蔽工程检查的期限的约定：</w:t>
      </w:r>
      <w:r>
        <w:rPr>
          <w:rFonts w:hint="eastAsia" w:ascii="宋体" w:hAnsi="宋体" w:eastAsia="宋体" w:cs="宋体"/>
          <w:bCs/>
          <w:color w:val="auto"/>
          <w:sz w:val="21"/>
          <w:szCs w:val="21"/>
          <w:highlight w:val="none"/>
          <w:u w:val="single"/>
        </w:rPr>
        <w:t>书面申报材料后24小时内</w:t>
      </w:r>
      <w:r>
        <w:rPr>
          <w:rFonts w:hint="eastAsia" w:ascii="宋体" w:hAnsi="宋体" w:eastAsia="宋体" w:cs="宋体"/>
          <w:color w:val="auto"/>
          <w:sz w:val="21"/>
          <w:szCs w:val="21"/>
          <w:highlight w:val="none"/>
          <w:u w:val="single"/>
        </w:rPr>
        <w:t>。</w:t>
      </w:r>
    </w:p>
    <w:p w14:paraId="1689621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监理人不能按时进行检查时，应提前</w:t>
      </w:r>
      <w:r>
        <w:rPr>
          <w:rFonts w:hint="eastAsia" w:ascii="宋体" w:hAnsi="宋体" w:eastAsia="宋体" w:cs="宋体"/>
          <w:bCs/>
          <w:color w:val="auto"/>
          <w:sz w:val="21"/>
          <w:szCs w:val="21"/>
          <w:highlight w:val="none"/>
          <w:u w:val="single"/>
        </w:rPr>
        <w:t>24</w:t>
      </w:r>
      <w:r>
        <w:rPr>
          <w:rFonts w:hint="eastAsia" w:ascii="宋体" w:hAnsi="宋体" w:eastAsia="宋体" w:cs="宋体"/>
          <w:color w:val="auto"/>
          <w:sz w:val="21"/>
          <w:szCs w:val="21"/>
          <w:highlight w:val="none"/>
          <w:u w:val="single"/>
        </w:rPr>
        <w:t>小时提交书面延期要求。</w:t>
      </w:r>
    </w:p>
    <w:p w14:paraId="2FBF218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关于延期最长不得超过：</w:t>
      </w:r>
      <w:r>
        <w:rPr>
          <w:rFonts w:hint="eastAsia" w:ascii="宋体" w:hAnsi="宋体" w:eastAsia="宋体" w:cs="宋体"/>
          <w:bCs/>
          <w:color w:val="auto"/>
          <w:sz w:val="21"/>
          <w:szCs w:val="21"/>
          <w:highlight w:val="none"/>
          <w:u w:val="single"/>
        </w:rPr>
        <w:t>48</w:t>
      </w:r>
      <w:r>
        <w:rPr>
          <w:rFonts w:hint="eastAsia" w:ascii="宋体" w:hAnsi="宋体" w:eastAsia="宋体" w:cs="宋体"/>
          <w:color w:val="auto"/>
          <w:sz w:val="21"/>
          <w:szCs w:val="21"/>
          <w:highlight w:val="none"/>
          <w:u w:val="single"/>
        </w:rPr>
        <w:t>小时。</w:t>
      </w:r>
    </w:p>
    <w:p w14:paraId="1CE7F6CE">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06" w:name="_Toc351203638"/>
      <w:bookmarkStart w:id="207" w:name="_Toc51164675"/>
      <w:bookmarkStart w:id="208" w:name="_Toc13799"/>
      <w:r>
        <w:rPr>
          <w:rFonts w:hint="eastAsia" w:ascii="宋体" w:hAnsi="宋体" w:eastAsia="宋体" w:cs="宋体"/>
          <w:b/>
          <w:color w:val="auto"/>
          <w:kern w:val="0"/>
          <w:sz w:val="21"/>
          <w:szCs w:val="21"/>
          <w:highlight w:val="none"/>
          <w:lang w:val="en-US" w:eastAsia="zh-CN" w:bidi="ar-SA"/>
        </w:rPr>
        <w:t>6. 安全文明施工与环境保护</w:t>
      </w:r>
      <w:bookmarkEnd w:id="206"/>
      <w:bookmarkEnd w:id="207"/>
      <w:bookmarkEnd w:id="208"/>
    </w:p>
    <w:p w14:paraId="23752D0C">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安全文明施工</w:t>
      </w:r>
    </w:p>
    <w:p w14:paraId="7FEE8E4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color w:val="auto"/>
          <w:sz w:val="21"/>
          <w:szCs w:val="21"/>
          <w:highlight w:val="none"/>
        </w:rPr>
        <w:t>6.1.1 项目安全生产的达标目标及相应事项的约定：</w:t>
      </w:r>
      <w:r>
        <w:rPr>
          <w:rFonts w:hint="eastAsia" w:ascii="宋体" w:hAnsi="宋体" w:eastAsia="宋体" w:cs="宋体"/>
          <w:bCs/>
          <w:color w:val="auto"/>
          <w:sz w:val="21"/>
          <w:szCs w:val="21"/>
          <w:highlight w:val="none"/>
          <w:u w:val="single"/>
        </w:rPr>
        <w:t>（1）承包人在施工期间须针对周边情况做好防尘降噪工作，应遵守《中华人民共和国安全生产法》及地方政府和有关部门对施工场地交通、噪声、污水、现场环境卫生和场外污染等管理规定并办理有关手续。</w:t>
      </w:r>
    </w:p>
    <w:p w14:paraId="3357295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（2）承包人须做好文明施工、安全生产，在施工过程中应完善文明施工措施，在施工过程中造成的安全事故由承包人承担。</w:t>
      </w:r>
    </w:p>
    <w:p w14:paraId="0096759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bCs/>
          <w:color w:val="auto"/>
          <w:sz w:val="21"/>
          <w:szCs w:val="21"/>
          <w:highlight w:val="none"/>
          <w:u w:val="single"/>
        </w:rPr>
        <w:t>（3）建筑垃圾处理参照《常州市金坛区人民政府关于印发金坛区城区建筑垃圾管理暂行办法的通知》（详见坛政规【2017】1 号文）。</w:t>
      </w:r>
    </w:p>
    <w:p w14:paraId="1A1E955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6.1.4 关于治安保卫的特别约定：</w:t>
      </w:r>
      <w:r>
        <w:rPr>
          <w:rFonts w:hint="eastAsia" w:ascii="宋体" w:hAnsi="宋体" w:eastAsia="宋体" w:cs="宋体"/>
          <w:bCs/>
          <w:color w:val="auto"/>
          <w:sz w:val="21"/>
          <w:szCs w:val="21"/>
          <w:highlight w:val="none"/>
          <w:u w:val="single"/>
        </w:rPr>
        <w:t>承包人应采取必要的治安保卫措施，并承担因承包人因该项工作不力（财物材料失窃、工人赌博酗酒、工人打架斗殴等）而造成的相应损失</w:t>
      </w:r>
      <w:r>
        <w:rPr>
          <w:rFonts w:hint="eastAsia" w:ascii="宋体" w:hAnsi="宋体" w:eastAsia="宋体" w:cs="宋体"/>
          <w:color w:val="auto"/>
          <w:sz w:val="21"/>
          <w:szCs w:val="21"/>
          <w:highlight w:val="none"/>
          <w:u w:val="single"/>
        </w:rPr>
        <w:t>。</w:t>
      </w:r>
    </w:p>
    <w:p w14:paraId="724127F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关于编制施工场地治安管理计划的约定：</w:t>
      </w:r>
      <w:r>
        <w:rPr>
          <w:rFonts w:hint="eastAsia" w:ascii="宋体" w:hAnsi="宋体" w:eastAsia="宋体" w:cs="宋体"/>
          <w:bCs/>
          <w:color w:val="auto"/>
          <w:sz w:val="21"/>
          <w:szCs w:val="21"/>
          <w:highlight w:val="none"/>
          <w:u w:val="single"/>
        </w:rPr>
        <w:t>承包人应在开工7天内编制施工场地治安管理计划</w:t>
      </w:r>
      <w:r>
        <w:rPr>
          <w:rFonts w:hint="eastAsia" w:ascii="宋体" w:hAnsi="宋体" w:eastAsia="宋体" w:cs="宋体"/>
          <w:color w:val="auto"/>
          <w:sz w:val="21"/>
          <w:szCs w:val="21"/>
          <w:highlight w:val="none"/>
          <w:u w:val="single"/>
        </w:rPr>
        <w:t>。</w:t>
      </w:r>
    </w:p>
    <w:p w14:paraId="19C204D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6.1.5 文明施工</w:t>
      </w:r>
    </w:p>
    <w:p w14:paraId="23DCF6E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合同当事人对文明施工的要求：</w:t>
      </w:r>
      <w:r>
        <w:rPr>
          <w:rFonts w:hint="eastAsia" w:ascii="宋体" w:hAnsi="宋体" w:eastAsia="宋体" w:cs="宋体"/>
          <w:bCs/>
          <w:color w:val="auto"/>
          <w:sz w:val="21"/>
          <w:szCs w:val="21"/>
          <w:highlight w:val="none"/>
        </w:rPr>
        <w:t>本工程承包人必须按文明工地标准进行管理，承包人必须服从发包人制定的有关现场安全文明管理规定，并服从发包人、监理的统一管理和协调。承包人应按照发包人、监理要求制定现场安全文明管理制度，并落实各项制度的运行。</w:t>
      </w:r>
    </w:p>
    <w:p w14:paraId="0ED6A8F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承包人应保证施工现场符合工程当地建设、规划、环保及城管部门文明施工的有关规定，承担因其自身违反有关规定造成的损失和违约责任。</w:t>
      </w:r>
    </w:p>
    <w:p w14:paraId="58F4F36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施工场地清洁卫生的要求：遵守环境卫生管理的有关规定，承担因自身原因违反有关规定造成的损失和违约责任；临时设施的搭设需经监理人和发包人批准，并按标准化、文明现场的要求设立标语、标牌，保证施工场地清洁卫生和场地硬化、美化，并承担相关费用。</w:t>
      </w:r>
    </w:p>
    <w:p w14:paraId="0E5A015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承包人必须严格按照当地建设主管部门的要求，有效控制工程施工扬尘，如发生投诉及主管部门追责，每次由承包人向发包人支付1万元违约金，从承包人工程款中直接扣除。</w:t>
      </w:r>
    </w:p>
    <w:p w14:paraId="666F9E6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竣工时承包人负责进行全面清理，包括清洁所有已完成的各专业工程及设备（各专业工程承包商须在专业工程竣工交付前自行完成自身工程范围清洁工作）。承包人应在工程竣工前及时将临时设施（含临时围墙、临时道路等）及施工设备拆除，做到工完场清（含建筑垃圾清运，运费自理），清理标准应获得发包人及监理认可。如承包人拒绝完成或不能按合同要求完成，发包人可安排第三方完成，按实际发生费用从承包人工程款中直接扣除，影响工期的责任由承包人承担。</w:t>
      </w:r>
    </w:p>
    <w:p w14:paraId="43AF2C0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施工过程中不得对镇区内现有的道路和设施在未经有关政府部门的批准进行破坏、占道使用或造成污染。若有发生，经监理及发包人签字认定后，每次处2000元的</w:t>
      </w:r>
      <w:r>
        <w:rPr>
          <w:rFonts w:hint="eastAsia" w:ascii="宋体" w:hAnsi="宋体" w:eastAsia="宋体" w:cs="宋体"/>
          <w:bCs/>
          <w:color w:val="auto"/>
          <w:sz w:val="21"/>
          <w:szCs w:val="21"/>
          <w:highlight w:val="none"/>
          <w:lang w:val="en-US" w:eastAsia="zh-CN"/>
        </w:rPr>
        <w:t>违约金</w:t>
      </w:r>
      <w:r>
        <w:rPr>
          <w:rFonts w:hint="eastAsia" w:ascii="宋体" w:hAnsi="宋体" w:eastAsia="宋体" w:cs="宋体"/>
          <w:bCs/>
          <w:color w:val="auto"/>
          <w:sz w:val="21"/>
          <w:szCs w:val="21"/>
          <w:highlight w:val="none"/>
        </w:rPr>
        <w:t>外，还需及时修复及清理到位，承包人拒不实施的，发包人有权另行安排单位进行修复和清理，所产生的费用经审定后从承包人工程款中扣除</w:t>
      </w:r>
      <w:r>
        <w:rPr>
          <w:rFonts w:hint="eastAsia" w:ascii="宋体" w:hAnsi="宋体" w:eastAsia="宋体" w:cs="宋体"/>
          <w:color w:val="auto"/>
          <w:sz w:val="21"/>
          <w:szCs w:val="21"/>
          <w:highlight w:val="none"/>
        </w:rPr>
        <w:t>。</w:t>
      </w:r>
    </w:p>
    <w:p w14:paraId="16413F3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6.1.6 关于安全文明施工费支付比例和支付期限的约定：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p>
    <w:bookmarkEnd w:id="199"/>
    <w:bookmarkEnd w:id="200"/>
    <w:bookmarkEnd w:id="201"/>
    <w:bookmarkEnd w:id="202"/>
    <w:bookmarkEnd w:id="203"/>
    <w:bookmarkEnd w:id="204"/>
    <w:bookmarkEnd w:id="205"/>
    <w:p w14:paraId="54759091">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09" w:name="_Toc51164676"/>
      <w:bookmarkStart w:id="210" w:name="_Toc30057"/>
      <w:bookmarkStart w:id="211" w:name="_Toc351203639"/>
      <w:r>
        <w:rPr>
          <w:rFonts w:hint="eastAsia" w:ascii="宋体" w:hAnsi="宋体" w:eastAsia="宋体" w:cs="宋体"/>
          <w:b/>
          <w:color w:val="auto"/>
          <w:kern w:val="0"/>
          <w:sz w:val="21"/>
          <w:szCs w:val="21"/>
          <w:highlight w:val="none"/>
          <w:lang w:val="en-US" w:eastAsia="zh-CN" w:bidi="ar-SA"/>
        </w:rPr>
        <w:t>7. 工期和进度</w:t>
      </w:r>
      <w:bookmarkEnd w:id="209"/>
      <w:bookmarkEnd w:id="210"/>
      <w:bookmarkEnd w:id="211"/>
    </w:p>
    <w:p w14:paraId="14F78365">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施工组织设计</w:t>
      </w:r>
    </w:p>
    <w:p w14:paraId="2D0B14FF">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7.1.1 合</w:t>
      </w:r>
      <w:r>
        <w:rPr>
          <w:rFonts w:hint="eastAsia" w:ascii="宋体" w:hAnsi="宋体" w:eastAsia="宋体" w:cs="宋体"/>
          <w:color w:val="auto"/>
          <w:kern w:val="0"/>
          <w:sz w:val="21"/>
          <w:szCs w:val="21"/>
          <w:highlight w:val="none"/>
        </w:rPr>
        <w:t>同当事人约定的施工组织设计应包括的其他内容：</w:t>
      </w:r>
      <w:r>
        <w:rPr>
          <w:rFonts w:hint="eastAsia" w:ascii="宋体" w:hAnsi="宋体" w:eastAsia="宋体" w:cs="宋体"/>
          <w:bCs/>
          <w:color w:val="auto"/>
          <w:sz w:val="21"/>
          <w:szCs w:val="21"/>
          <w:highlight w:val="none"/>
          <w:u w:val="single"/>
        </w:rPr>
        <w:t>按通用条款规定</w:t>
      </w:r>
      <w:r>
        <w:rPr>
          <w:rFonts w:hint="eastAsia" w:ascii="宋体" w:hAnsi="宋体" w:eastAsia="宋体" w:cs="宋体"/>
          <w:color w:val="auto"/>
          <w:sz w:val="21"/>
          <w:szCs w:val="21"/>
          <w:highlight w:val="none"/>
          <w:u w:val="single"/>
        </w:rPr>
        <w:t>。</w:t>
      </w:r>
    </w:p>
    <w:p w14:paraId="53206ADA">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 xml:space="preserve">7.1.2 </w:t>
      </w:r>
      <w:r>
        <w:rPr>
          <w:rFonts w:hint="eastAsia" w:ascii="宋体" w:hAnsi="宋体" w:eastAsia="宋体" w:cs="宋体"/>
          <w:color w:val="auto"/>
          <w:kern w:val="0"/>
          <w:sz w:val="21"/>
          <w:szCs w:val="21"/>
          <w:highlight w:val="none"/>
        </w:rPr>
        <w:t>施工组织设计的提交和修改</w:t>
      </w:r>
    </w:p>
    <w:p w14:paraId="3D48567B">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承包人提交详细施工组织设计的期限的约定：</w:t>
      </w:r>
      <w:r>
        <w:rPr>
          <w:rFonts w:hint="eastAsia" w:ascii="宋体" w:hAnsi="宋体" w:eastAsia="宋体" w:cs="宋体"/>
          <w:bCs/>
          <w:color w:val="auto"/>
          <w:sz w:val="21"/>
          <w:szCs w:val="21"/>
          <w:highlight w:val="none"/>
          <w:u w:val="single"/>
        </w:rPr>
        <w:t>开工前7天内提供施工进度总计划和有针对性的施工组织设计</w:t>
      </w:r>
      <w:r>
        <w:rPr>
          <w:rFonts w:hint="eastAsia" w:ascii="宋体" w:hAnsi="宋体" w:eastAsia="宋体" w:cs="宋体"/>
          <w:color w:val="auto"/>
          <w:sz w:val="21"/>
          <w:szCs w:val="21"/>
          <w:highlight w:val="none"/>
          <w:u w:val="single"/>
        </w:rPr>
        <w:t>。</w:t>
      </w:r>
    </w:p>
    <w:p w14:paraId="4025FE0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发包人和监理人在收到详细的施工组织设计后确认或提出修改意见的期限：</w:t>
      </w:r>
      <w:r>
        <w:rPr>
          <w:rFonts w:hint="eastAsia" w:ascii="宋体" w:hAnsi="宋体" w:eastAsia="宋体" w:cs="宋体"/>
          <w:bCs/>
          <w:color w:val="auto"/>
          <w:sz w:val="21"/>
          <w:szCs w:val="21"/>
          <w:highlight w:val="none"/>
          <w:u w:val="single"/>
        </w:rPr>
        <w:t>自监理人收到承包人报送的施工组织设计后7天内</w:t>
      </w:r>
      <w:r>
        <w:rPr>
          <w:rFonts w:hint="eastAsia" w:ascii="宋体" w:hAnsi="宋体" w:eastAsia="宋体" w:cs="宋体"/>
          <w:color w:val="auto"/>
          <w:sz w:val="21"/>
          <w:szCs w:val="21"/>
          <w:highlight w:val="none"/>
          <w:u w:val="single"/>
        </w:rPr>
        <w:t>。</w:t>
      </w:r>
    </w:p>
    <w:p w14:paraId="4278488D">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212" w:name="_Toc312678005"/>
      <w:bookmarkStart w:id="213" w:name="_Toc297123514"/>
      <w:bookmarkStart w:id="214" w:name="_Toc304295541"/>
      <w:bookmarkStart w:id="215" w:name="_Toc300934966"/>
      <w:bookmarkStart w:id="216" w:name="_Toc297216173"/>
      <w:bookmarkStart w:id="217" w:name="_Toc312677479"/>
      <w:bookmarkStart w:id="218" w:name="_Toc303539123"/>
      <w:r>
        <w:rPr>
          <w:rFonts w:hint="eastAsia" w:ascii="宋体" w:hAnsi="宋体" w:eastAsia="宋体" w:cs="宋体"/>
          <w:color w:val="auto"/>
          <w:sz w:val="21"/>
          <w:szCs w:val="21"/>
          <w:highlight w:val="none"/>
        </w:rPr>
        <w:t>.2 施工进度计划</w:t>
      </w:r>
    </w:p>
    <w:p w14:paraId="2183CA1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7.2.2 施工进度计划的修订</w:t>
      </w:r>
    </w:p>
    <w:p w14:paraId="447AF2E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发包人和监理人在收到修订的施工进度计划后确认或提出修改意见的期限：</w:t>
      </w:r>
      <w:r>
        <w:rPr>
          <w:rFonts w:hint="eastAsia" w:ascii="宋体" w:hAnsi="宋体" w:eastAsia="宋体" w:cs="宋体"/>
          <w:bCs/>
          <w:color w:val="auto"/>
          <w:sz w:val="21"/>
          <w:szCs w:val="21"/>
          <w:highlight w:val="none"/>
          <w:u w:val="single"/>
        </w:rPr>
        <w:t>自监理人收到承包人报送的相关进度计划后7天内</w:t>
      </w:r>
      <w:r>
        <w:rPr>
          <w:rFonts w:hint="eastAsia" w:ascii="宋体" w:hAnsi="宋体" w:eastAsia="宋体" w:cs="宋体"/>
          <w:color w:val="auto"/>
          <w:sz w:val="21"/>
          <w:szCs w:val="21"/>
          <w:highlight w:val="none"/>
          <w:u w:val="single"/>
        </w:rPr>
        <w:t>。</w:t>
      </w:r>
    </w:p>
    <w:p w14:paraId="59244520">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 开工</w:t>
      </w:r>
    </w:p>
    <w:p w14:paraId="1C12195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 开工准备</w:t>
      </w:r>
    </w:p>
    <w:p w14:paraId="57C06DE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关于承包人提交</w:t>
      </w:r>
      <w:r>
        <w:rPr>
          <w:rFonts w:hint="eastAsia" w:ascii="宋体" w:hAnsi="宋体" w:eastAsia="宋体" w:cs="宋体"/>
          <w:color w:val="auto"/>
          <w:kern w:val="0"/>
          <w:sz w:val="21"/>
          <w:szCs w:val="21"/>
          <w:highlight w:val="none"/>
        </w:rPr>
        <w:t>工程开工报审表的期限：</w:t>
      </w:r>
      <w:r>
        <w:rPr>
          <w:rFonts w:hint="eastAsia" w:ascii="宋体" w:hAnsi="宋体" w:eastAsia="宋体" w:cs="宋体"/>
          <w:bCs/>
          <w:color w:val="auto"/>
          <w:sz w:val="21"/>
          <w:szCs w:val="21"/>
          <w:highlight w:val="none"/>
          <w:u w:val="single"/>
        </w:rPr>
        <w:t>在工程准备工作完成后，计划开工日期前7天提交开工报审表</w:t>
      </w:r>
      <w:r>
        <w:rPr>
          <w:rFonts w:hint="eastAsia" w:ascii="宋体" w:hAnsi="宋体" w:eastAsia="宋体" w:cs="宋体"/>
          <w:color w:val="auto"/>
          <w:sz w:val="21"/>
          <w:szCs w:val="21"/>
          <w:highlight w:val="none"/>
          <w:u w:val="single"/>
        </w:rPr>
        <w:t>。</w:t>
      </w:r>
    </w:p>
    <w:p w14:paraId="0C35A40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关于发包人应完成的其他开工准备工作及期限：</w:t>
      </w:r>
      <w:r>
        <w:rPr>
          <w:rFonts w:hint="eastAsia" w:ascii="宋体" w:hAnsi="宋体" w:eastAsia="宋体" w:cs="宋体"/>
          <w:bCs/>
          <w:color w:val="auto"/>
          <w:sz w:val="21"/>
          <w:szCs w:val="21"/>
          <w:highlight w:val="none"/>
          <w:u w:val="single"/>
        </w:rPr>
        <w:t>计划开工日期前7天</w:t>
      </w:r>
      <w:r>
        <w:rPr>
          <w:rFonts w:hint="eastAsia" w:ascii="宋体" w:hAnsi="宋体" w:eastAsia="宋体" w:cs="宋体"/>
          <w:color w:val="auto"/>
          <w:sz w:val="21"/>
          <w:szCs w:val="21"/>
          <w:highlight w:val="none"/>
          <w:u w:val="single"/>
        </w:rPr>
        <w:t>。</w:t>
      </w:r>
    </w:p>
    <w:p w14:paraId="4D17DE4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关于承包人应完成的其他开工准备工作及期限：</w:t>
      </w:r>
      <w:r>
        <w:rPr>
          <w:rFonts w:hint="eastAsia" w:ascii="宋体" w:hAnsi="宋体" w:eastAsia="宋体" w:cs="宋体"/>
          <w:bCs/>
          <w:color w:val="auto"/>
          <w:sz w:val="21"/>
          <w:szCs w:val="21"/>
          <w:highlight w:val="none"/>
          <w:u w:val="single"/>
        </w:rPr>
        <w:t>计划开工日期前7天</w:t>
      </w:r>
      <w:r>
        <w:rPr>
          <w:rFonts w:hint="eastAsia" w:ascii="宋体" w:hAnsi="宋体" w:eastAsia="宋体" w:cs="宋体"/>
          <w:color w:val="auto"/>
          <w:sz w:val="21"/>
          <w:szCs w:val="21"/>
          <w:highlight w:val="none"/>
          <w:u w:val="single"/>
        </w:rPr>
        <w:t>。</w:t>
      </w:r>
    </w:p>
    <w:p w14:paraId="710356B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7.3.2 开工通知</w:t>
      </w:r>
    </w:p>
    <w:p w14:paraId="0853285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因发包人原因造成监理人未能在计划开工日期之日起</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天内发出开工通知的，承包人有权提出价格调整要求，或者解除合同。</w:t>
      </w:r>
    </w:p>
    <w:bookmarkEnd w:id="212"/>
    <w:bookmarkEnd w:id="213"/>
    <w:bookmarkEnd w:id="214"/>
    <w:bookmarkEnd w:id="215"/>
    <w:bookmarkEnd w:id="216"/>
    <w:bookmarkEnd w:id="217"/>
    <w:bookmarkEnd w:id="218"/>
    <w:p w14:paraId="2E7D5D26">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7.4 测量放线</w:t>
      </w:r>
    </w:p>
    <w:p w14:paraId="7471323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7.4.1 发包人通过监理人向承包人提供测量基准点、基准线和水准点及其书面资料的期限：</w:t>
      </w:r>
      <w:r>
        <w:rPr>
          <w:rFonts w:hint="eastAsia" w:ascii="宋体" w:hAnsi="宋体" w:eastAsia="宋体" w:cs="宋体"/>
          <w:bCs/>
          <w:color w:val="auto"/>
          <w:sz w:val="21"/>
          <w:szCs w:val="21"/>
          <w:highlight w:val="none"/>
          <w:u w:val="single"/>
        </w:rPr>
        <w:t>根据工程实际进度</w:t>
      </w:r>
      <w:r>
        <w:rPr>
          <w:rFonts w:hint="eastAsia" w:ascii="宋体" w:hAnsi="宋体" w:eastAsia="宋体" w:cs="宋体"/>
          <w:color w:val="auto"/>
          <w:sz w:val="21"/>
          <w:szCs w:val="21"/>
          <w:highlight w:val="none"/>
          <w:u w:val="single"/>
        </w:rPr>
        <w:t>。</w:t>
      </w:r>
    </w:p>
    <w:p w14:paraId="4D307BA3">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219" w:name="_Toc297123516"/>
      <w:bookmarkStart w:id="220" w:name="_Toc304295546"/>
      <w:bookmarkStart w:id="221" w:name="_Toc303539125"/>
      <w:bookmarkStart w:id="222" w:name="_Toc312677484"/>
      <w:bookmarkStart w:id="223" w:name="_Toc312678010"/>
      <w:bookmarkStart w:id="224" w:name="_Toc297216175"/>
      <w:bookmarkStart w:id="225" w:name="_Toc300934968"/>
      <w:r>
        <w:rPr>
          <w:rFonts w:hint="eastAsia" w:ascii="宋体" w:hAnsi="宋体" w:eastAsia="宋体" w:cs="宋体"/>
          <w:color w:val="auto"/>
          <w:sz w:val="21"/>
          <w:szCs w:val="21"/>
          <w:highlight w:val="none"/>
        </w:rPr>
        <w:t>.5 工期延误</w:t>
      </w:r>
    </w:p>
    <w:bookmarkEnd w:id="219"/>
    <w:bookmarkEnd w:id="220"/>
    <w:bookmarkEnd w:id="221"/>
    <w:bookmarkEnd w:id="222"/>
    <w:bookmarkEnd w:id="223"/>
    <w:bookmarkEnd w:id="224"/>
    <w:bookmarkEnd w:id="225"/>
    <w:p w14:paraId="09B420D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7.5.1 因发包人原因导致工期延误</w:t>
      </w:r>
    </w:p>
    <w:p w14:paraId="244F826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bookmarkStart w:id="226" w:name="_Toc318581171"/>
      <w:bookmarkStart w:id="227" w:name="_Toc312678014"/>
      <w:r>
        <w:rPr>
          <w:rFonts w:hint="eastAsia" w:ascii="宋体" w:hAnsi="宋体" w:eastAsia="宋体" w:cs="宋体"/>
          <w:color w:val="auto"/>
          <w:sz w:val="21"/>
          <w:szCs w:val="21"/>
          <w:highlight w:val="none"/>
        </w:rPr>
        <w:t>（7）因发包人原因导致工期延误的其他情形：</w:t>
      </w:r>
      <w:r>
        <w:rPr>
          <w:rFonts w:hint="eastAsia" w:ascii="宋体" w:hAnsi="宋体" w:eastAsia="宋体" w:cs="宋体"/>
          <w:bCs/>
          <w:color w:val="auto"/>
          <w:sz w:val="21"/>
          <w:szCs w:val="21"/>
          <w:highlight w:val="none"/>
          <w:u w:val="single"/>
        </w:rPr>
        <w:t>由于发包人原因和国家行政相关要求的停工（非承包方的责任），经发包人同意，工期可顺延</w:t>
      </w:r>
      <w:r>
        <w:rPr>
          <w:rFonts w:hint="eastAsia" w:ascii="宋体" w:hAnsi="宋体" w:eastAsia="宋体" w:cs="宋体"/>
          <w:color w:val="auto"/>
          <w:sz w:val="21"/>
          <w:szCs w:val="21"/>
          <w:highlight w:val="none"/>
          <w:u w:val="single"/>
        </w:rPr>
        <w:t>。</w:t>
      </w:r>
    </w:p>
    <w:p w14:paraId="09E8154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228" w:name="_Toc312678012"/>
      <w:bookmarkStart w:id="229" w:name="_Toc312677486"/>
      <w:bookmarkStart w:id="230" w:name="_Toc318581169"/>
      <w:bookmarkStart w:id="231" w:name="_Toc297216177"/>
      <w:bookmarkStart w:id="232" w:name="_Toc297123518"/>
      <w:bookmarkStart w:id="233" w:name="_Toc303539127"/>
      <w:bookmarkStart w:id="234" w:name="_Toc304295548"/>
      <w:bookmarkStart w:id="235" w:name="_Toc300934970"/>
      <w:r>
        <w:rPr>
          <w:rFonts w:hint="eastAsia" w:ascii="宋体" w:hAnsi="宋体" w:eastAsia="宋体" w:cs="宋体"/>
          <w:color w:val="auto"/>
          <w:sz w:val="21"/>
          <w:szCs w:val="21"/>
          <w:highlight w:val="none"/>
        </w:rPr>
        <w:t>.5.2 因承包人原因导致工期延误</w:t>
      </w:r>
    </w:p>
    <w:bookmarkEnd w:id="228"/>
    <w:bookmarkEnd w:id="229"/>
    <w:bookmarkEnd w:id="230"/>
    <w:p w14:paraId="71410F3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因</w:t>
      </w:r>
      <w:bookmarkStart w:id="236" w:name="_Toc312677487"/>
      <w:bookmarkStart w:id="237" w:name="_Toc312678013"/>
      <w:bookmarkStart w:id="238" w:name="_Toc318581170"/>
      <w:r>
        <w:rPr>
          <w:rFonts w:hint="eastAsia" w:ascii="宋体" w:hAnsi="宋体" w:eastAsia="宋体" w:cs="宋体"/>
          <w:color w:val="auto"/>
          <w:sz w:val="21"/>
          <w:szCs w:val="21"/>
          <w:highlight w:val="none"/>
        </w:rPr>
        <w:t>承包人原因造成工期延误，逾期竣工违约金的计算方法为：</w:t>
      </w:r>
    </w:p>
    <w:p w14:paraId="1DDC9D9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按中标工程总价的万分之二/天向发包人支付延期违约金，得到发包人认可的延期除外。因承包人原因造成工期延误</w:t>
      </w:r>
      <w:r>
        <w:rPr>
          <w:rFonts w:hint="eastAsia" w:ascii="宋体" w:hAnsi="宋体" w:eastAsia="宋体" w:cs="宋体"/>
          <w:color w:val="auto"/>
          <w:sz w:val="21"/>
          <w:szCs w:val="21"/>
          <w:highlight w:val="none"/>
          <w:u w:val="single"/>
          <w:lang w:val="en-US" w:eastAsia="zh-CN"/>
        </w:rPr>
        <w:t>5</w:t>
      </w:r>
      <w:r>
        <w:rPr>
          <w:rFonts w:hint="eastAsia" w:ascii="宋体" w:hAnsi="宋体" w:eastAsia="宋体" w:cs="宋体"/>
          <w:color w:val="auto"/>
          <w:sz w:val="21"/>
          <w:szCs w:val="21"/>
          <w:highlight w:val="none"/>
          <w:u w:val="single"/>
        </w:rPr>
        <w:t>天以上（对比同期工程总进度计划），除扣除相应延期违约金外，承包人必须制定相应的赶工计划和赶工措施，赶工不力或拒不赶工的，工期延误</w:t>
      </w:r>
      <w:r>
        <w:rPr>
          <w:rFonts w:hint="eastAsia" w:ascii="宋体" w:hAnsi="宋体" w:eastAsia="宋体" w:cs="宋体"/>
          <w:color w:val="auto"/>
          <w:sz w:val="21"/>
          <w:szCs w:val="21"/>
          <w:highlight w:val="none"/>
          <w:u w:val="single"/>
          <w:lang w:val="en-US" w:eastAsia="zh-CN"/>
        </w:rPr>
        <w:t>10</w:t>
      </w:r>
      <w:r>
        <w:rPr>
          <w:rFonts w:hint="eastAsia" w:ascii="宋体" w:hAnsi="宋体" w:eastAsia="宋体" w:cs="宋体"/>
          <w:color w:val="auto"/>
          <w:sz w:val="21"/>
          <w:szCs w:val="21"/>
          <w:highlight w:val="none"/>
          <w:u w:val="single"/>
        </w:rPr>
        <w:t>天以上（对比同期工程总进度计划），发包人有权解除合同。</w:t>
      </w:r>
      <w:bookmarkEnd w:id="231"/>
      <w:bookmarkEnd w:id="232"/>
      <w:bookmarkEnd w:id="233"/>
      <w:bookmarkEnd w:id="234"/>
      <w:bookmarkEnd w:id="235"/>
      <w:bookmarkEnd w:id="236"/>
      <w:bookmarkEnd w:id="237"/>
    </w:p>
    <w:bookmarkEnd w:id="226"/>
    <w:bookmarkEnd w:id="227"/>
    <w:bookmarkEnd w:id="238"/>
    <w:p w14:paraId="4860386E">
      <w:pPr>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因承包人原因造成工期延误，逾期竣工违约金的上限：</w:t>
      </w:r>
      <w:r>
        <w:rPr>
          <w:rFonts w:hint="eastAsia" w:ascii="宋体" w:hAnsi="宋体" w:eastAsia="宋体" w:cs="宋体"/>
          <w:bCs/>
          <w:color w:val="auto"/>
          <w:sz w:val="21"/>
          <w:szCs w:val="21"/>
          <w:highlight w:val="none"/>
          <w:u w:val="single"/>
        </w:rPr>
        <w:t>不超过工程合同总价的5％</w:t>
      </w:r>
      <w:r>
        <w:rPr>
          <w:rFonts w:hint="eastAsia" w:ascii="宋体" w:hAnsi="宋体" w:eastAsia="宋体" w:cs="宋体"/>
          <w:color w:val="auto"/>
          <w:sz w:val="21"/>
          <w:szCs w:val="21"/>
          <w:highlight w:val="none"/>
          <w:u w:val="single"/>
        </w:rPr>
        <w:t>。</w:t>
      </w:r>
    </w:p>
    <w:p w14:paraId="0F83A07E">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239" w:name="_Toc300934971"/>
      <w:bookmarkStart w:id="240" w:name="_Toc304295549"/>
      <w:bookmarkStart w:id="241" w:name="_Toc303539128"/>
      <w:bookmarkStart w:id="242" w:name="_Toc312678015"/>
      <w:bookmarkStart w:id="243" w:name="_Toc297216178"/>
      <w:bookmarkStart w:id="244" w:name="_Toc297123519"/>
      <w:r>
        <w:rPr>
          <w:rFonts w:hint="eastAsia" w:ascii="宋体" w:hAnsi="宋体" w:eastAsia="宋体" w:cs="宋体"/>
          <w:color w:val="auto"/>
          <w:sz w:val="21"/>
          <w:szCs w:val="21"/>
          <w:highlight w:val="none"/>
        </w:rPr>
        <w:t>.6 不</w:t>
      </w:r>
      <w:bookmarkEnd w:id="239"/>
      <w:bookmarkEnd w:id="240"/>
      <w:bookmarkEnd w:id="241"/>
      <w:bookmarkEnd w:id="242"/>
      <w:bookmarkEnd w:id="243"/>
      <w:bookmarkEnd w:id="244"/>
      <w:r>
        <w:rPr>
          <w:rFonts w:hint="eastAsia" w:ascii="宋体" w:hAnsi="宋体" w:eastAsia="宋体" w:cs="宋体"/>
          <w:color w:val="auto"/>
          <w:sz w:val="21"/>
          <w:szCs w:val="21"/>
          <w:highlight w:val="none"/>
        </w:rPr>
        <w:t>利物质条件</w:t>
      </w:r>
    </w:p>
    <w:p w14:paraId="0403A97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bookmarkStart w:id="245" w:name="_Toc297123520"/>
      <w:bookmarkStart w:id="246" w:name="_Toc303539129"/>
      <w:bookmarkStart w:id="247" w:name="_Toc300934972"/>
      <w:bookmarkStart w:id="248" w:name="_Toc304295550"/>
      <w:bookmarkStart w:id="249" w:name="_Toc297216179"/>
      <w:bookmarkStart w:id="250" w:name="_Toc318581172"/>
      <w:bookmarkStart w:id="251" w:name="_Toc312678016"/>
      <w:r>
        <w:rPr>
          <w:rFonts w:hint="eastAsia" w:ascii="宋体" w:hAnsi="宋体" w:eastAsia="宋体" w:cs="宋体"/>
          <w:color w:val="auto"/>
          <w:sz w:val="21"/>
          <w:szCs w:val="21"/>
          <w:highlight w:val="none"/>
        </w:rPr>
        <w:t>不利物质条件的其他情形和有关约定：</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u w:val="single"/>
        </w:rPr>
        <w:t>。</w:t>
      </w:r>
    </w:p>
    <w:bookmarkEnd w:id="245"/>
    <w:bookmarkEnd w:id="246"/>
    <w:bookmarkEnd w:id="247"/>
    <w:bookmarkEnd w:id="248"/>
    <w:bookmarkEnd w:id="249"/>
    <w:bookmarkEnd w:id="250"/>
    <w:bookmarkEnd w:id="251"/>
    <w:p w14:paraId="76E19E4E">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252" w:name="_Toc300934973"/>
      <w:bookmarkStart w:id="253" w:name="_Toc303539130"/>
      <w:bookmarkStart w:id="254" w:name="_Toc312678017"/>
      <w:bookmarkStart w:id="255" w:name="_Toc297123521"/>
      <w:bookmarkStart w:id="256" w:name="_Toc297216180"/>
      <w:bookmarkStart w:id="257" w:name="_Toc304295551"/>
      <w:r>
        <w:rPr>
          <w:rFonts w:hint="eastAsia" w:ascii="宋体" w:hAnsi="宋体" w:eastAsia="宋体" w:cs="宋体"/>
          <w:color w:val="auto"/>
          <w:sz w:val="21"/>
          <w:szCs w:val="21"/>
          <w:highlight w:val="none"/>
        </w:rPr>
        <w:t>.7 异常恶劣的气候条件</w:t>
      </w:r>
    </w:p>
    <w:bookmarkEnd w:id="252"/>
    <w:bookmarkEnd w:id="253"/>
    <w:bookmarkEnd w:id="254"/>
    <w:bookmarkEnd w:id="255"/>
    <w:bookmarkEnd w:id="256"/>
    <w:bookmarkEnd w:id="257"/>
    <w:p w14:paraId="68DDEA3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发包人和承包人同意以下情形视为异常恶劣的气候条件：</w:t>
      </w:r>
    </w:p>
    <w:p w14:paraId="031F0FE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u w:val="single"/>
        </w:rPr>
        <w:t>；</w:t>
      </w:r>
    </w:p>
    <w:p w14:paraId="6CCC121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u w:val="single"/>
        </w:rPr>
        <w:t>；</w:t>
      </w:r>
    </w:p>
    <w:p w14:paraId="57711AE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（3）</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u w:val="single"/>
        </w:rPr>
        <w:t>。</w:t>
      </w:r>
    </w:p>
    <w:p w14:paraId="6EEC32D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7.9 提前竣工的奖励</w:t>
      </w:r>
    </w:p>
    <w:p w14:paraId="14E2F92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bookmarkStart w:id="258" w:name="_Toc351203640"/>
      <w:r>
        <w:rPr>
          <w:rFonts w:hint="eastAsia" w:ascii="宋体" w:hAnsi="宋体" w:eastAsia="宋体" w:cs="宋体"/>
          <w:color w:val="auto"/>
          <w:sz w:val="21"/>
          <w:szCs w:val="21"/>
          <w:highlight w:val="none"/>
        </w:rPr>
        <w:t>7.9.2 提前竣工的奖励：</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bCs/>
          <w:color w:val="auto"/>
          <w:sz w:val="21"/>
          <w:szCs w:val="21"/>
          <w:highlight w:val="none"/>
        </w:rPr>
        <w:t>。</w:t>
      </w:r>
    </w:p>
    <w:p w14:paraId="3822945A">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259" w:name="_Toc51164677"/>
      <w:bookmarkStart w:id="260" w:name="_Toc14214"/>
      <w:r>
        <w:rPr>
          <w:rFonts w:hint="eastAsia" w:ascii="宋体" w:hAnsi="宋体" w:eastAsia="宋体" w:cs="宋体"/>
          <w:b/>
          <w:color w:val="auto"/>
          <w:kern w:val="0"/>
          <w:sz w:val="21"/>
          <w:szCs w:val="21"/>
          <w:highlight w:val="none"/>
          <w:lang w:val="en-US" w:eastAsia="zh-CN" w:bidi="ar-SA"/>
        </w:rPr>
        <w:t>8. 材料与设备</w:t>
      </w:r>
      <w:bookmarkEnd w:id="258"/>
      <w:bookmarkEnd w:id="259"/>
      <w:bookmarkEnd w:id="260"/>
    </w:p>
    <w:bookmarkEnd w:id="189"/>
    <w:bookmarkEnd w:id="190"/>
    <w:bookmarkEnd w:id="191"/>
    <w:bookmarkEnd w:id="192"/>
    <w:bookmarkEnd w:id="193"/>
    <w:bookmarkEnd w:id="194"/>
    <w:bookmarkEnd w:id="195"/>
    <w:bookmarkEnd w:id="196"/>
    <w:bookmarkEnd w:id="197"/>
    <w:bookmarkEnd w:id="198"/>
    <w:p w14:paraId="0F399F68">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bookmarkStart w:id="261" w:name="_Toc292559372"/>
      <w:bookmarkStart w:id="262" w:name="_Toc297120467"/>
      <w:bookmarkStart w:id="263" w:name="_Toc297216186"/>
      <w:bookmarkStart w:id="264" w:name="_Toc296891207"/>
      <w:bookmarkStart w:id="265" w:name="_Toc280868654"/>
      <w:bookmarkStart w:id="266" w:name="_Toc296346668"/>
      <w:bookmarkStart w:id="267" w:name="_Toc296503167"/>
      <w:bookmarkStart w:id="268" w:name="_Toc297123527"/>
      <w:bookmarkStart w:id="269" w:name="_Toc297048353"/>
      <w:bookmarkStart w:id="270" w:name="_Toc296944506"/>
      <w:bookmarkStart w:id="271" w:name="_Toc296347166"/>
      <w:bookmarkStart w:id="272" w:name="_Toc312678019"/>
      <w:bookmarkStart w:id="273" w:name="_Toc300934979"/>
      <w:bookmarkStart w:id="274" w:name="_Toc292559877"/>
      <w:bookmarkStart w:id="275" w:name="_Toc303539136"/>
      <w:bookmarkStart w:id="276" w:name="_Toc304295556"/>
      <w:bookmarkStart w:id="277" w:name="_Toc312677493"/>
      <w:bookmarkStart w:id="278" w:name="_Toc296890995"/>
      <w:bookmarkStart w:id="279" w:name="_Toc267251424"/>
      <w:bookmarkStart w:id="280" w:name="_Toc280868655"/>
      <w:bookmarkStart w:id="281" w:name="_Toc280868656"/>
      <w:r>
        <w:rPr>
          <w:rFonts w:hint="eastAsia" w:ascii="宋体" w:hAnsi="宋体" w:eastAsia="宋体" w:cs="宋体"/>
          <w:color w:val="auto"/>
          <w:sz w:val="21"/>
          <w:szCs w:val="21"/>
          <w:highlight w:val="none"/>
        </w:rPr>
        <w:t>.4 材料与工程设备的保管与使用</w:t>
      </w:r>
    </w:p>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14:paraId="79F8499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bookmarkStart w:id="282" w:name="_Toc312678020"/>
      <w:bookmarkStart w:id="283" w:name="_Toc300934980"/>
      <w:bookmarkStart w:id="284" w:name="_Toc296944507"/>
      <w:bookmarkStart w:id="285" w:name="_Toc296347167"/>
      <w:bookmarkStart w:id="286" w:name="_Toc312677494"/>
      <w:bookmarkStart w:id="287" w:name="_Toc297120468"/>
      <w:bookmarkStart w:id="288" w:name="_Toc318581173"/>
      <w:bookmarkStart w:id="289" w:name="_Toc296503168"/>
      <w:bookmarkStart w:id="290" w:name="_Toc296890996"/>
      <w:bookmarkStart w:id="291" w:name="_Toc296346669"/>
      <w:bookmarkStart w:id="292" w:name="_Toc304295557"/>
      <w:bookmarkStart w:id="293" w:name="_Toc297216187"/>
      <w:bookmarkStart w:id="294" w:name="_Toc296891208"/>
      <w:bookmarkStart w:id="295" w:name="_Toc297048354"/>
      <w:bookmarkStart w:id="296" w:name="_Toc303539137"/>
      <w:bookmarkStart w:id="297" w:name="_Toc297123528"/>
      <w:r>
        <w:rPr>
          <w:rFonts w:hint="eastAsia" w:ascii="宋体" w:hAnsi="宋体" w:eastAsia="宋体" w:cs="宋体"/>
          <w:color w:val="auto"/>
          <w:sz w:val="21"/>
          <w:szCs w:val="21"/>
          <w:highlight w:val="none"/>
        </w:rPr>
        <w:t>8</w:t>
      </w:r>
      <w:bookmarkStart w:id="298" w:name="_Toc292559373"/>
      <w:bookmarkStart w:id="299" w:name="_Toc292559878"/>
      <w:r>
        <w:rPr>
          <w:rFonts w:hint="eastAsia" w:ascii="宋体" w:hAnsi="宋体" w:eastAsia="宋体" w:cs="宋体"/>
          <w:color w:val="auto"/>
          <w:sz w:val="21"/>
          <w:szCs w:val="21"/>
          <w:highlight w:val="none"/>
        </w:rPr>
        <w:t>.4.1 发包人供应的材料设备的保管费用的承担：</w:t>
      </w:r>
      <w:r>
        <w:rPr>
          <w:rFonts w:hint="eastAsia" w:ascii="宋体" w:hAnsi="宋体" w:eastAsia="宋体" w:cs="宋体"/>
          <w:bCs/>
          <w:color w:val="auto"/>
          <w:sz w:val="21"/>
          <w:szCs w:val="21"/>
          <w:highlight w:val="none"/>
          <w:u w:val="single"/>
        </w:rPr>
        <w:t>发包人供应的材料设备，承包人派人参加清点后由承包人妥善保管，发生丢失损坏，由承包人负责赔偿。</w:t>
      </w:r>
    </w:p>
    <w:p w14:paraId="47BD715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8.4.2 承包人提供的材料和设备：</w:t>
      </w:r>
      <w:r>
        <w:rPr>
          <w:rFonts w:hint="eastAsia" w:ascii="宋体" w:hAnsi="宋体" w:eastAsia="宋体" w:cs="宋体"/>
          <w:bCs/>
          <w:color w:val="auto"/>
          <w:sz w:val="21"/>
          <w:szCs w:val="21"/>
          <w:highlight w:val="none"/>
          <w:u w:val="single"/>
        </w:rPr>
        <w:t>承包人应在材料、设备进场前7天向监理人申报相关资料，监理人在收到申报资料3天内完成审批。</w:t>
      </w:r>
    </w:p>
    <w:p w14:paraId="6A2791F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除发包人供应或发包人定价承包人供应材料外，承包人应按照本合同约定及设计和有关标准要求采购由承包人负责采购的材料，采购前应向监理工程师提供产品合格证明和样本、样品（可进行封样的），并在材料到货前24小时通知监理工程师初检。承包人对材料质量负责，承包人提供的材料不符合要求时，发包人保留发包人供应或发包人定价承包人供应材料的权利。</w:t>
      </w:r>
    </w:p>
    <w:p w14:paraId="76C1BE2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（2）主要材料</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由承包人自行选择，但须得到发包人、监理人的认可。未经发包人、监理人的决定或认可，承包人不得私自将材料运进现场，更不得将材料用于本工程。材料的供应以保障工程施工顺利进行为原则，由承包人自理。具体事宜由承包人与材料</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签订的供应合同中明确，供应合同中明确具体品种、数量、标准、规格、型号、尺寸、供应办法、供货地点、下力方式。</w:t>
      </w:r>
    </w:p>
    <w:p w14:paraId="33E3F06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（3）发包人、监理人对材料</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的决定或认可并不解除承包人应负的质量、工期的责任，也不解除承包人对材料应负的责任。承包人采购的材料与设计或规范要求不符时，承包人应按监理工程师要求的时间运出施工场地，重新采购符合要求的产品，承担由此发生的费用，由此延误的工期不予顺延。</w:t>
      </w:r>
    </w:p>
    <w:p w14:paraId="6F48E37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承包人采购的材料在使用前，承包人首先进行自检，并做自检内容记录，此外还应按监理工程师的要求进行检验或试验，如监理工程师对检验过材料表示怀疑时，有权随机抽样检验。不合格的不得使用，若检验或试验不合格，其费用由承包人承担。</w:t>
      </w:r>
    </w:p>
    <w:p w14:paraId="6BB12BE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因发现承包人采购并使用不符合设计或标准要求的材料，致使工程不符合合同规定的质量要求，承包人应按监理工程师的要求进行修复、拆除或重新采购，承包人承担由此发生的一切费用，延误的工期不予顺延。</w:t>
      </w:r>
    </w:p>
    <w:p w14:paraId="1E2FB9A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（6）材料</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与承包人的材料供应量按材料</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与承包人双方共同签认的实际供应数量进行计量。发包人有权监督承包人与材料</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的合同履行情况，若承包人不按合同规定支付材料款，发包人有权从应支付给承包人的任一款项中扣除该部分并支付给材料商。</w:t>
      </w:r>
    </w:p>
    <w:p w14:paraId="5B96B4D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7）承包人需要使用代用材料时，应向监理工程师提出使用代用材料对本工程质量、成本、进度等方面的影响报告，经监理工程师审核并报发包人代表批准后才能使用，由此增减的合同价款根据工程申报单、现场签证于工程竣工结算时一并结算。发包人的批准并不能解除承包人对代用材料的质量和使用代用材料引起的不良结果的责任</w:t>
      </w:r>
      <w:r>
        <w:rPr>
          <w:rFonts w:hint="eastAsia" w:ascii="宋体" w:hAnsi="宋体" w:eastAsia="宋体" w:cs="宋体"/>
          <w:color w:val="auto"/>
          <w:sz w:val="21"/>
          <w:szCs w:val="21"/>
          <w:highlight w:val="none"/>
        </w:rPr>
        <w:t>。</w:t>
      </w:r>
      <w:bookmarkEnd w:id="298"/>
      <w:bookmarkEnd w:id="299"/>
    </w:p>
    <w:p w14:paraId="204E2F9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8.6 样品</w:t>
      </w:r>
    </w:p>
    <w:p w14:paraId="201007DE">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8.6.1 样品的报送与封存</w:t>
      </w:r>
    </w:p>
    <w:p w14:paraId="33B91F3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需要承包人报送样品的材料或工程设备，样品的种类、名称、规格、数量要求：</w:t>
      </w:r>
      <w:r>
        <w:rPr>
          <w:rFonts w:hint="eastAsia" w:ascii="宋体" w:hAnsi="宋体" w:eastAsia="宋体" w:cs="宋体"/>
          <w:bCs/>
          <w:color w:val="auto"/>
          <w:sz w:val="21"/>
          <w:szCs w:val="21"/>
          <w:highlight w:val="none"/>
          <w:u w:val="single"/>
        </w:rPr>
        <w:t>（1）要求工程材料的质量及检验资料须达到设计要求及国家现行验收规范；（2）本工程涉及外观材料材质、规格、颜色须经发包人书面确认后方可采购；（3）材料进场前，承包人应及时向监理工程师提交质量证明材料和《工程材料进场报验单》，经审查同意并签署意见后方能进场使用。材料未经报审同意，承包人擅自用于工程的，应无条件返工，并承担由此产生的相关责任。</w:t>
      </w:r>
      <w:r>
        <w:rPr>
          <w:rFonts w:hint="eastAsia" w:ascii="宋体" w:hAnsi="宋体" w:eastAsia="宋体" w:cs="宋体"/>
          <w:bCs/>
          <w:color w:val="auto"/>
          <w:sz w:val="21"/>
          <w:szCs w:val="21"/>
          <w:highlight w:val="none"/>
        </w:rPr>
        <w:t>（4）本工程所使用材料应按要求进行检测，送检合格，检测费用由发包人承担；送检不合格，检测费用由承包人承担。检测不合格的材料，如已使用于工程，应无条件返工，如未使用于工程，由监理标识后，限时运出场外</w:t>
      </w:r>
      <w:r>
        <w:rPr>
          <w:rFonts w:hint="eastAsia" w:ascii="宋体" w:hAnsi="宋体" w:eastAsia="宋体" w:cs="宋体"/>
          <w:color w:val="auto"/>
          <w:sz w:val="21"/>
          <w:szCs w:val="21"/>
          <w:highlight w:val="none"/>
        </w:rPr>
        <w:t>。</w:t>
      </w:r>
    </w:p>
    <w:p w14:paraId="1C9B204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 施工设备和临时设施</w:t>
      </w:r>
    </w:p>
    <w:p w14:paraId="66952050">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8.8.1 承包人提供的施工设备和临时设施</w:t>
      </w:r>
    </w:p>
    <w:p w14:paraId="4D0C7D7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关于修建临时设施费用承担的约定：</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u w:val="single"/>
        </w:rPr>
        <w:t>。</w:t>
      </w:r>
    </w:p>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14:paraId="0659E85A">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300" w:name="_Toc351203641"/>
      <w:bookmarkStart w:id="301" w:name="_Toc51164678"/>
      <w:bookmarkStart w:id="302" w:name="_Toc8498"/>
      <w:r>
        <w:rPr>
          <w:rFonts w:hint="eastAsia" w:ascii="宋体" w:hAnsi="宋体" w:eastAsia="宋体" w:cs="宋体"/>
          <w:b/>
          <w:color w:val="auto"/>
          <w:kern w:val="0"/>
          <w:sz w:val="21"/>
          <w:szCs w:val="21"/>
          <w:highlight w:val="none"/>
          <w:lang w:val="en-US" w:eastAsia="zh-CN" w:bidi="ar-SA"/>
        </w:rPr>
        <w:t>9</w:t>
      </w:r>
      <w:bookmarkEnd w:id="279"/>
      <w:bookmarkEnd w:id="280"/>
      <w:bookmarkEnd w:id="281"/>
      <w:bookmarkStart w:id="303" w:name="_Toc297123533"/>
      <w:bookmarkStart w:id="304" w:name="_Toc303539139"/>
      <w:bookmarkStart w:id="305" w:name="_Toc300934982"/>
      <w:bookmarkStart w:id="306" w:name="_Toc297216192"/>
      <w:bookmarkStart w:id="307" w:name="_Toc304295559"/>
      <w:bookmarkStart w:id="308" w:name="_Toc312678021"/>
      <w:bookmarkStart w:id="309" w:name="_Toc312677495"/>
      <w:bookmarkStart w:id="310" w:name="_Toc296347172"/>
      <w:bookmarkStart w:id="311" w:name="_Toc297120473"/>
      <w:bookmarkStart w:id="312" w:name="_Toc296346674"/>
      <w:bookmarkStart w:id="313" w:name="_Toc267251428"/>
      <w:bookmarkStart w:id="314" w:name="_Toc296891213"/>
      <w:bookmarkStart w:id="315" w:name="_Toc292559378"/>
      <w:bookmarkStart w:id="316" w:name="_Toc296944512"/>
      <w:bookmarkStart w:id="317" w:name="_Toc296891001"/>
      <w:bookmarkStart w:id="318" w:name="_Toc267251427"/>
      <w:bookmarkStart w:id="319" w:name="_Toc297048359"/>
      <w:bookmarkStart w:id="320" w:name="_Toc296503173"/>
      <w:bookmarkStart w:id="321" w:name="_Toc292559883"/>
      <w:r>
        <w:rPr>
          <w:rFonts w:hint="eastAsia" w:ascii="宋体" w:hAnsi="宋体" w:eastAsia="宋体" w:cs="宋体"/>
          <w:b/>
          <w:color w:val="auto"/>
          <w:kern w:val="0"/>
          <w:sz w:val="21"/>
          <w:szCs w:val="21"/>
          <w:highlight w:val="none"/>
          <w:lang w:val="en-US" w:eastAsia="zh-CN" w:bidi="ar-SA"/>
        </w:rPr>
        <w:t>. 试验与检验</w:t>
      </w:r>
      <w:bookmarkEnd w:id="300"/>
      <w:bookmarkEnd w:id="301"/>
      <w:bookmarkEnd w:id="302"/>
    </w:p>
    <w:bookmarkEnd w:id="303"/>
    <w:bookmarkEnd w:id="304"/>
    <w:bookmarkEnd w:id="305"/>
    <w:bookmarkEnd w:id="306"/>
    <w:bookmarkEnd w:id="307"/>
    <w:bookmarkEnd w:id="308"/>
    <w:bookmarkEnd w:id="309"/>
    <w:p w14:paraId="48A10954">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bookmarkStart w:id="322" w:name="_Toc312678022"/>
      <w:bookmarkStart w:id="323" w:name="_Toc300934983"/>
      <w:bookmarkStart w:id="324" w:name="_Toc303539140"/>
      <w:bookmarkStart w:id="325" w:name="_Toc297216193"/>
      <w:bookmarkStart w:id="326" w:name="_Toc312677496"/>
      <w:bookmarkStart w:id="327" w:name="_Toc304295560"/>
      <w:bookmarkStart w:id="328" w:name="_Toc297123534"/>
      <w:r>
        <w:rPr>
          <w:rFonts w:hint="eastAsia" w:ascii="宋体" w:hAnsi="宋体" w:eastAsia="宋体" w:cs="宋体"/>
          <w:color w:val="auto"/>
          <w:sz w:val="21"/>
          <w:szCs w:val="21"/>
          <w:highlight w:val="none"/>
        </w:rPr>
        <w:t>.1 试验设备与试验人员</w:t>
      </w:r>
    </w:p>
    <w:bookmarkEnd w:id="322"/>
    <w:bookmarkEnd w:id="323"/>
    <w:bookmarkEnd w:id="324"/>
    <w:bookmarkEnd w:id="325"/>
    <w:bookmarkEnd w:id="326"/>
    <w:bookmarkEnd w:id="327"/>
    <w:bookmarkEnd w:id="328"/>
    <w:p w14:paraId="24E8A43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bookmarkStart w:id="329" w:name="_Toc300934984"/>
      <w:bookmarkStart w:id="330" w:name="_Toc297216194"/>
      <w:bookmarkStart w:id="331" w:name="_Toc304295561"/>
      <w:bookmarkStart w:id="332" w:name="_Toc297123535"/>
      <w:bookmarkStart w:id="333" w:name="_Toc312678023"/>
      <w:bookmarkStart w:id="334" w:name="_Toc312677497"/>
      <w:bookmarkStart w:id="335" w:name="_Toc303539141"/>
      <w:bookmarkStart w:id="336" w:name="_Toc318581174"/>
      <w:r>
        <w:rPr>
          <w:rFonts w:hint="eastAsia" w:ascii="宋体" w:hAnsi="宋体" w:eastAsia="宋体" w:cs="宋体"/>
          <w:color w:val="auto"/>
          <w:sz w:val="21"/>
          <w:szCs w:val="21"/>
          <w:highlight w:val="none"/>
        </w:rPr>
        <w:t>.1.2 试验设备</w:t>
      </w:r>
    </w:p>
    <w:bookmarkEnd w:id="329"/>
    <w:bookmarkEnd w:id="330"/>
    <w:bookmarkEnd w:id="331"/>
    <w:bookmarkEnd w:id="332"/>
    <w:bookmarkEnd w:id="333"/>
    <w:bookmarkEnd w:id="334"/>
    <w:bookmarkEnd w:id="335"/>
    <w:p w14:paraId="44F7ECB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bookmarkStart w:id="337" w:name="_Toc304295562"/>
      <w:bookmarkStart w:id="338" w:name="_Toc300934985"/>
      <w:bookmarkStart w:id="339" w:name="_Toc297216195"/>
      <w:bookmarkStart w:id="340" w:name="_Toc312677498"/>
      <w:bookmarkStart w:id="341" w:name="_Toc312678024"/>
      <w:bookmarkStart w:id="342" w:name="_Toc297123536"/>
      <w:bookmarkStart w:id="343" w:name="_Toc303539142"/>
      <w:r>
        <w:rPr>
          <w:rFonts w:hint="eastAsia" w:ascii="宋体" w:hAnsi="宋体" w:eastAsia="宋体" w:cs="宋体"/>
          <w:color w:val="auto"/>
          <w:sz w:val="21"/>
          <w:szCs w:val="21"/>
          <w:highlight w:val="none"/>
        </w:rPr>
        <w:t>施工现场需要配置的试验场所：</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u w:val="single"/>
        </w:rPr>
        <w:t>。</w:t>
      </w:r>
    </w:p>
    <w:p w14:paraId="22C72FA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施工现场需要配备的试验设备：</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u w:val="single"/>
        </w:rPr>
        <w:t>。</w:t>
      </w:r>
    </w:p>
    <w:p w14:paraId="7AEE961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施工现场需要具备的其他试验条件：</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u w:val="single"/>
        </w:rPr>
        <w:t>。</w:t>
      </w:r>
    </w:p>
    <w:p w14:paraId="101D961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9.4 现场工艺试验 </w:t>
      </w:r>
    </w:p>
    <w:p w14:paraId="7BF3EA3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现场工艺试验的有关约定：</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u w:val="single"/>
        </w:rPr>
        <w:t>。</w:t>
      </w:r>
    </w:p>
    <w:bookmarkEnd w:id="336"/>
    <w:bookmarkEnd w:id="337"/>
    <w:bookmarkEnd w:id="338"/>
    <w:bookmarkEnd w:id="339"/>
    <w:bookmarkEnd w:id="340"/>
    <w:bookmarkEnd w:id="341"/>
    <w:bookmarkEnd w:id="342"/>
    <w:bookmarkEnd w:id="343"/>
    <w:p w14:paraId="14968C3B">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344" w:name="_Toc351203642"/>
      <w:bookmarkStart w:id="345" w:name="_Toc51164679"/>
      <w:bookmarkStart w:id="346" w:name="_Toc32337"/>
      <w:r>
        <w:rPr>
          <w:rFonts w:hint="eastAsia" w:ascii="宋体" w:hAnsi="宋体" w:eastAsia="宋体" w:cs="宋体"/>
          <w:b/>
          <w:color w:val="auto"/>
          <w:kern w:val="0"/>
          <w:sz w:val="21"/>
          <w:szCs w:val="21"/>
          <w:highlight w:val="none"/>
          <w:lang w:val="en-US" w:eastAsia="zh-CN" w:bidi="ar-SA"/>
        </w:rPr>
        <w:t>1</w:t>
      </w:r>
      <w:bookmarkEnd w:id="310"/>
      <w:bookmarkEnd w:id="311"/>
      <w:bookmarkEnd w:id="312"/>
      <w:bookmarkEnd w:id="313"/>
      <w:bookmarkEnd w:id="314"/>
      <w:bookmarkEnd w:id="315"/>
      <w:bookmarkEnd w:id="316"/>
      <w:bookmarkEnd w:id="317"/>
      <w:bookmarkEnd w:id="318"/>
      <w:bookmarkEnd w:id="319"/>
      <w:bookmarkEnd w:id="320"/>
      <w:bookmarkEnd w:id="321"/>
      <w:bookmarkStart w:id="347" w:name="_Toc296944532"/>
      <w:bookmarkStart w:id="348" w:name="_Toc296346694"/>
      <w:bookmarkStart w:id="349" w:name="_Toc304295566"/>
      <w:bookmarkStart w:id="350" w:name="_Toc296503193"/>
      <w:bookmarkStart w:id="351" w:name="_Toc297048379"/>
      <w:bookmarkStart w:id="352" w:name="_Toc292559398"/>
      <w:bookmarkStart w:id="353" w:name="_Toc292559903"/>
      <w:bookmarkStart w:id="354" w:name="_Toc296891233"/>
      <w:bookmarkStart w:id="355" w:name="_Toc297216199"/>
      <w:bookmarkStart w:id="356" w:name="_Toc297120493"/>
      <w:bookmarkStart w:id="357" w:name="_Toc296891021"/>
      <w:bookmarkStart w:id="358" w:name="_Toc297123540"/>
      <w:bookmarkStart w:id="359" w:name="_Toc300934989"/>
      <w:bookmarkStart w:id="360" w:name="_Toc296347192"/>
      <w:bookmarkStart w:id="361" w:name="_Toc303539146"/>
      <w:bookmarkStart w:id="362" w:name="_Toc312678025"/>
      <w:bookmarkStart w:id="363" w:name="_Toc312677499"/>
      <w:bookmarkStart w:id="364" w:name="_Toc267251437"/>
      <w:bookmarkStart w:id="365" w:name="_Toc267251439"/>
      <w:bookmarkStart w:id="366" w:name="_Toc267251433"/>
      <w:bookmarkStart w:id="367" w:name="_Toc267251440"/>
      <w:bookmarkStart w:id="368" w:name="_Toc267251441"/>
      <w:bookmarkStart w:id="369" w:name="_Toc267251435"/>
      <w:bookmarkStart w:id="370" w:name="_Toc267251442"/>
      <w:r>
        <w:rPr>
          <w:rFonts w:hint="eastAsia" w:ascii="宋体" w:hAnsi="宋体" w:eastAsia="宋体" w:cs="宋体"/>
          <w:b/>
          <w:color w:val="auto"/>
          <w:kern w:val="0"/>
          <w:sz w:val="21"/>
          <w:szCs w:val="21"/>
          <w:highlight w:val="none"/>
          <w:lang w:val="en-US" w:eastAsia="zh-CN" w:bidi="ar-SA"/>
        </w:rPr>
        <w:t>0. 变更</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bookmarkEnd w:id="362"/>
    <w:bookmarkEnd w:id="363"/>
    <w:p w14:paraId="190D7111">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371" w:name="_Toc303539147"/>
      <w:bookmarkStart w:id="372" w:name="_Toc296891022"/>
      <w:bookmarkStart w:id="373" w:name="_Toc300934990"/>
      <w:bookmarkStart w:id="374" w:name="_Toc296944533"/>
      <w:bookmarkStart w:id="375" w:name="_Toc297048380"/>
      <w:bookmarkStart w:id="376" w:name="_Toc296503194"/>
      <w:bookmarkStart w:id="377" w:name="_Toc296891234"/>
      <w:bookmarkStart w:id="378" w:name="_Toc304295567"/>
      <w:bookmarkStart w:id="379" w:name="_Toc296347193"/>
      <w:bookmarkStart w:id="380" w:name="_Toc292559399"/>
      <w:bookmarkStart w:id="381" w:name="_Toc312678026"/>
      <w:bookmarkStart w:id="382" w:name="_Toc312677500"/>
      <w:bookmarkStart w:id="383" w:name="_Toc297216200"/>
      <w:bookmarkStart w:id="384" w:name="_Toc297120494"/>
      <w:bookmarkStart w:id="385" w:name="_Toc297123541"/>
      <w:bookmarkStart w:id="386" w:name="_Toc296346695"/>
      <w:bookmarkStart w:id="387" w:name="_Toc292559904"/>
      <w:r>
        <w:rPr>
          <w:rFonts w:hint="eastAsia" w:ascii="宋体" w:hAnsi="宋体" w:eastAsia="宋体" w:cs="宋体"/>
          <w:color w:val="auto"/>
          <w:sz w:val="21"/>
          <w:szCs w:val="21"/>
          <w:highlight w:val="none"/>
        </w:rPr>
        <w:t>0.1 变更的范围</w:t>
      </w:r>
    </w:p>
    <w:p w14:paraId="078BD6C8">
      <w:pPr>
        <w:pageBreakBefore w:val="0"/>
        <w:widowControl w:val="0"/>
        <w:kinsoku/>
        <w:wordWrap/>
        <w:overflowPunct/>
        <w:topLinePunct w:val="0"/>
        <w:bidi w:val="0"/>
        <w:snapToGrid/>
        <w:spacing w:line="400" w:lineRule="exact"/>
        <w:ind w:firstLine="42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关于变更的范围的约定：</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3095834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 变更估价</w:t>
      </w:r>
    </w:p>
    <w:p w14:paraId="17F03AE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10.4.1 变更估价原则</w:t>
      </w:r>
    </w:p>
    <w:p w14:paraId="28485D0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color w:val="auto"/>
          <w:sz w:val="21"/>
          <w:szCs w:val="21"/>
          <w:highlight w:val="none"/>
        </w:rPr>
        <w:t>关于变更估价的约定：</w:t>
      </w:r>
      <w:r>
        <w:rPr>
          <w:rFonts w:hint="eastAsia" w:ascii="宋体" w:hAnsi="宋体" w:eastAsia="宋体" w:cs="宋体"/>
          <w:bCs/>
          <w:color w:val="auto"/>
          <w:sz w:val="21"/>
          <w:szCs w:val="21"/>
          <w:highlight w:val="none"/>
          <w:u w:val="single"/>
        </w:rPr>
        <w:t>1、变更项目清单计价工程量结算方法：由承包人提出，经监理人、发包人和跟踪审计（如有）审定后的数量进行结算。变更项目清单计价综合单价的结算方法：</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报价中已有适用于变更工程的价格，按</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的综合单价结算，但采用不平衡报价且明显高于市场价的子目变更，其单价将在满足该子目中标工程量15%范围内采纳其报价，超出15%(含)以外的工程量按无适用或类似于变更工程的价格的方法确定价格；</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报价中无适用或类似于变更工程的价格的，承包人应按本专用条款第12条之风险范围以外合同价格的调整方法c 中确定的方法计算。</w:t>
      </w:r>
    </w:p>
    <w:p w14:paraId="6299A92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bCs/>
          <w:color w:val="auto"/>
          <w:sz w:val="21"/>
          <w:szCs w:val="21"/>
          <w:highlight w:val="none"/>
        </w:rPr>
        <w:t>2、如有变更，应在变更部分施工前一周提交变更方案，如涉及造价的，则需提供变更前后的造价对比方案</w:t>
      </w:r>
      <w:r>
        <w:rPr>
          <w:rFonts w:hint="eastAsia" w:ascii="宋体" w:hAnsi="宋体" w:eastAsia="宋体" w:cs="宋体"/>
          <w:color w:val="auto"/>
          <w:sz w:val="21"/>
          <w:szCs w:val="21"/>
          <w:highlight w:val="none"/>
        </w:rPr>
        <w:t>。</w:t>
      </w:r>
    </w:p>
    <w:p w14:paraId="799D09D8">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Start w:id="388" w:name="_Toc296346698"/>
      <w:bookmarkStart w:id="389" w:name="_Toc292559907"/>
      <w:bookmarkStart w:id="390" w:name="_Toc296891237"/>
      <w:bookmarkStart w:id="391" w:name="_Toc296347196"/>
      <w:bookmarkStart w:id="392" w:name="_Toc297123544"/>
      <w:bookmarkStart w:id="393" w:name="_Toc297216203"/>
      <w:bookmarkStart w:id="394" w:name="_Toc297048383"/>
      <w:bookmarkStart w:id="395" w:name="_Toc300934993"/>
      <w:bookmarkStart w:id="396" w:name="_Toc296891025"/>
      <w:bookmarkStart w:id="397" w:name="_Toc296503197"/>
      <w:bookmarkStart w:id="398" w:name="_Toc297120497"/>
      <w:bookmarkStart w:id="399" w:name="_Toc303539150"/>
      <w:bookmarkStart w:id="400" w:name="_Toc296944536"/>
      <w:bookmarkStart w:id="401" w:name="_Toc292559402"/>
      <w:bookmarkStart w:id="402" w:name="_Toc312677503"/>
      <w:bookmarkStart w:id="403" w:name="_Toc312678029"/>
      <w:bookmarkStart w:id="404" w:name="_Toc304295570"/>
      <w:r>
        <w:rPr>
          <w:rFonts w:hint="eastAsia" w:ascii="宋体" w:hAnsi="宋体" w:eastAsia="宋体" w:cs="宋体"/>
          <w:color w:val="auto"/>
          <w:sz w:val="21"/>
          <w:szCs w:val="21"/>
          <w:highlight w:val="none"/>
        </w:rPr>
        <w:t>0.5 承</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Start w:id="405" w:name="_Toc297048389"/>
      <w:bookmarkStart w:id="406" w:name="_Toc296347202"/>
      <w:bookmarkStart w:id="407" w:name="_Toc292559408"/>
      <w:bookmarkStart w:id="408" w:name="_Toc296944542"/>
      <w:bookmarkStart w:id="409" w:name="_Toc297120503"/>
      <w:bookmarkStart w:id="410" w:name="_Toc296346704"/>
      <w:bookmarkStart w:id="411" w:name="_Toc300934994"/>
      <w:bookmarkStart w:id="412" w:name="_Toc296891031"/>
      <w:bookmarkStart w:id="413" w:name="_Toc292559913"/>
      <w:bookmarkStart w:id="414" w:name="_Toc297123545"/>
      <w:bookmarkStart w:id="415" w:name="_Toc296891243"/>
      <w:bookmarkStart w:id="416" w:name="_Toc297216204"/>
      <w:bookmarkStart w:id="417" w:name="_Toc303539151"/>
      <w:bookmarkStart w:id="418" w:name="_Toc296503203"/>
      <w:r>
        <w:rPr>
          <w:rFonts w:hint="eastAsia" w:ascii="宋体" w:hAnsi="宋体" w:eastAsia="宋体" w:cs="宋体"/>
          <w:color w:val="auto"/>
          <w:sz w:val="21"/>
          <w:szCs w:val="21"/>
          <w:highlight w:val="none"/>
        </w:rPr>
        <w:t>包人的合理化建议</w:t>
      </w:r>
    </w:p>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14:paraId="55196A2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bookmarkStart w:id="419" w:name="_Toc292559409"/>
      <w:bookmarkStart w:id="420" w:name="_Toc297048390"/>
      <w:bookmarkStart w:id="421" w:name="_Toc312677504"/>
      <w:bookmarkStart w:id="422" w:name="_Toc296503204"/>
      <w:bookmarkStart w:id="423" w:name="_Toc312678030"/>
      <w:bookmarkStart w:id="424" w:name="_Toc296944543"/>
      <w:bookmarkStart w:id="425" w:name="_Toc296346705"/>
      <w:bookmarkStart w:id="426" w:name="_Toc318581175"/>
      <w:bookmarkStart w:id="427" w:name="_Toc297120504"/>
      <w:bookmarkStart w:id="428" w:name="_Toc296347203"/>
      <w:bookmarkStart w:id="429" w:name="_Toc303539152"/>
      <w:bookmarkStart w:id="430" w:name="_Toc297216205"/>
      <w:bookmarkStart w:id="431" w:name="_Toc300934995"/>
      <w:bookmarkStart w:id="432" w:name="_Toc296891244"/>
      <w:bookmarkStart w:id="433" w:name="_Toc296891032"/>
      <w:bookmarkStart w:id="434" w:name="_Toc304295571"/>
      <w:bookmarkStart w:id="435" w:name="_Toc292559914"/>
      <w:bookmarkStart w:id="436" w:name="_Toc297123546"/>
      <w:r>
        <w:rPr>
          <w:rFonts w:hint="eastAsia" w:ascii="宋体" w:hAnsi="宋体" w:eastAsia="宋体" w:cs="宋体"/>
          <w:color w:val="auto"/>
          <w:sz w:val="21"/>
          <w:szCs w:val="21"/>
          <w:highlight w:val="none"/>
        </w:rPr>
        <w:t>监理人审查承包人合理化建议的期限：</w:t>
      </w:r>
      <w:r>
        <w:rPr>
          <w:rFonts w:hint="eastAsia" w:ascii="宋体" w:hAnsi="宋体" w:eastAsia="宋体" w:cs="宋体"/>
          <w:bCs/>
          <w:color w:val="auto"/>
          <w:sz w:val="21"/>
          <w:szCs w:val="21"/>
          <w:highlight w:val="none"/>
          <w:u w:val="single"/>
        </w:rPr>
        <w:t>按通用条款规定</w:t>
      </w:r>
      <w:r>
        <w:rPr>
          <w:rFonts w:hint="eastAsia" w:ascii="宋体" w:hAnsi="宋体" w:eastAsia="宋体" w:cs="宋体"/>
          <w:color w:val="auto"/>
          <w:sz w:val="21"/>
          <w:szCs w:val="21"/>
          <w:highlight w:val="none"/>
          <w:u w:val="single"/>
        </w:rPr>
        <w:t>。</w:t>
      </w:r>
    </w:p>
    <w:p w14:paraId="2852822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发包人审批承包人合理化建议的期限：</w:t>
      </w:r>
      <w:r>
        <w:rPr>
          <w:rFonts w:hint="eastAsia" w:ascii="宋体" w:hAnsi="宋体" w:eastAsia="宋体" w:cs="宋体"/>
          <w:bCs/>
          <w:color w:val="auto"/>
          <w:sz w:val="21"/>
          <w:szCs w:val="21"/>
          <w:highlight w:val="none"/>
          <w:u w:val="single"/>
        </w:rPr>
        <w:t>按通用条款规定。</w:t>
      </w:r>
    </w:p>
    <w:p w14:paraId="2FC0453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承包人提出的合理化建议降低了合同价格或者提高了工程经济效益的奖励的方法和金额为：</w:t>
      </w:r>
      <w:r>
        <w:rPr>
          <w:rFonts w:hint="eastAsia" w:ascii="宋体" w:hAnsi="宋体" w:eastAsia="宋体" w:cs="宋体"/>
          <w:bCs/>
          <w:color w:val="auto"/>
          <w:sz w:val="21"/>
          <w:szCs w:val="21"/>
          <w:highlight w:val="none"/>
          <w:u w:val="single"/>
        </w:rPr>
        <w:t>另行协</w:t>
      </w:r>
      <w:r>
        <w:rPr>
          <w:rFonts w:hint="eastAsia" w:ascii="宋体" w:hAnsi="宋体" w:eastAsia="宋体" w:cs="宋体"/>
          <w:bCs/>
          <w:color w:val="auto"/>
          <w:sz w:val="21"/>
          <w:szCs w:val="21"/>
          <w:highlight w:val="none"/>
          <w:u w:val="single"/>
          <w:lang w:val="en-US" w:eastAsia="zh-CN"/>
        </w:rPr>
        <w:t>商</w:t>
      </w:r>
      <w:r>
        <w:rPr>
          <w:rFonts w:hint="eastAsia" w:ascii="宋体" w:hAnsi="宋体" w:eastAsia="宋体" w:cs="宋体"/>
          <w:color w:val="auto"/>
          <w:sz w:val="21"/>
          <w:szCs w:val="21"/>
          <w:highlight w:val="none"/>
          <w:u w:val="single"/>
        </w:rPr>
        <w:t>。</w:t>
      </w:r>
    </w:p>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7BF2B4A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437" w:name="_Toc312677507"/>
      <w:bookmarkStart w:id="438" w:name="_Toc297048385"/>
      <w:bookmarkStart w:id="439" w:name="_Toc297123548"/>
      <w:bookmarkStart w:id="440" w:name="_Toc296891027"/>
      <w:bookmarkStart w:id="441" w:name="_Toc296891239"/>
      <w:bookmarkStart w:id="442" w:name="_Toc303539154"/>
      <w:bookmarkStart w:id="443" w:name="_Toc297120499"/>
      <w:bookmarkStart w:id="444" w:name="_Toc304295574"/>
      <w:bookmarkStart w:id="445" w:name="_Toc300934997"/>
      <w:bookmarkStart w:id="446" w:name="_Toc296503199"/>
      <w:bookmarkStart w:id="447" w:name="_Toc296944538"/>
      <w:bookmarkStart w:id="448" w:name="_Toc296346700"/>
      <w:bookmarkStart w:id="449" w:name="_Toc312678033"/>
      <w:bookmarkStart w:id="450" w:name="_Toc292559909"/>
      <w:bookmarkStart w:id="451" w:name="_Toc297216207"/>
      <w:bookmarkStart w:id="452" w:name="_Toc292559404"/>
      <w:bookmarkStart w:id="453" w:name="_Toc296347198"/>
      <w:r>
        <w:rPr>
          <w:rFonts w:hint="eastAsia" w:ascii="宋体" w:hAnsi="宋体" w:eastAsia="宋体" w:cs="宋体"/>
          <w:color w:val="auto"/>
          <w:sz w:val="21"/>
          <w:szCs w:val="21"/>
          <w:highlight w:val="none"/>
        </w:rPr>
        <w:t>0.7 暂估价</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0A65A45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暂</w:t>
      </w:r>
      <w:bookmarkStart w:id="454" w:name="_Toc318581176"/>
      <w:bookmarkStart w:id="455" w:name="_Toc312677508"/>
      <w:bookmarkStart w:id="456" w:name="_Toc312678034"/>
      <w:r>
        <w:rPr>
          <w:rFonts w:hint="eastAsia" w:ascii="宋体" w:hAnsi="宋体" w:eastAsia="宋体" w:cs="宋体"/>
          <w:color w:val="auto"/>
          <w:kern w:val="0"/>
          <w:sz w:val="21"/>
          <w:szCs w:val="21"/>
          <w:highlight w:val="none"/>
        </w:rPr>
        <w:t>估价材料和工程设备的明细详见附件11：《</w:t>
      </w:r>
      <w:r>
        <w:rPr>
          <w:rFonts w:hint="eastAsia" w:ascii="宋体" w:hAnsi="宋体" w:eastAsia="宋体" w:cs="宋体"/>
          <w:color w:val="auto"/>
          <w:sz w:val="21"/>
          <w:szCs w:val="21"/>
          <w:highlight w:val="none"/>
        </w:rPr>
        <w:t>暂估价一览表》</w:t>
      </w:r>
      <w:r>
        <w:rPr>
          <w:rFonts w:hint="eastAsia" w:ascii="宋体" w:hAnsi="宋体" w:eastAsia="宋体" w:cs="宋体"/>
          <w:color w:val="auto"/>
          <w:kern w:val="0"/>
          <w:sz w:val="21"/>
          <w:szCs w:val="21"/>
          <w:highlight w:val="none"/>
        </w:rPr>
        <w:t>。</w:t>
      </w:r>
    </w:p>
    <w:bookmarkEnd w:id="454"/>
    <w:bookmarkEnd w:id="455"/>
    <w:bookmarkEnd w:id="456"/>
    <w:p w14:paraId="55AD50D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457" w:name="_Toc318581177"/>
      <w:bookmarkStart w:id="458" w:name="_Toc312678035"/>
      <w:bookmarkStart w:id="459" w:name="_Toc312677509"/>
      <w:r>
        <w:rPr>
          <w:rFonts w:hint="eastAsia" w:ascii="宋体" w:hAnsi="宋体" w:eastAsia="宋体" w:cs="宋体"/>
          <w:color w:val="auto"/>
          <w:sz w:val="21"/>
          <w:szCs w:val="21"/>
          <w:highlight w:val="none"/>
        </w:rPr>
        <w:t>0.7.1 依法必须招标的暂估价项目</w:t>
      </w:r>
    </w:p>
    <w:bookmarkEnd w:id="457"/>
    <w:bookmarkEnd w:id="458"/>
    <w:bookmarkEnd w:id="459"/>
    <w:p w14:paraId="335847E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对于依法必须招标的暂估价项目的确认和批准采取第</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种方式确定。</w:t>
      </w:r>
    </w:p>
    <w:p w14:paraId="1734560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10.7.2 不属于依法必须招标的暂估价项目</w:t>
      </w:r>
    </w:p>
    <w:p w14:paraId="3091EB8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对于不属于依法必须招标的暂估价项目的确认和批准采取第</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种方式确定。</w:t>
      </w:r>
    </w:p>
    <w:p w14:paraId="3E7D1C0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第3种方式：</w:t>
      </w:r>
      <w:r>
        <w:rPr>
          <w:rFonts w:hint="eastAsia" w:ascii="宋体" w:hAnsi="宋体" w:eastAsia="宋体" w:cs="宋体"/>
          <w:color w:val="auto"/>
          <w:kern w:val="0"/>
          <w:sz w:val="21"/>
          <w:szCs w:val="21"/>
          <w:highlight w:val="none"/>
          <w:u w:val="single"/>
        </w:rPr>
        <w:t>承包人直接实施的暂估价项目</w:t>
      </w:r>
    </w:p>
    <w:p w14:paraId="7931FD6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承包人直接实施的暂估价项目的约定：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F3F3041">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10.8 暂列金额</w:t>
      </w:r>
    </w:p>
    <w:p w14:paraId="18345C1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合同当事人关于暂列金额使用的约定：</w:t>
      </w:r>
      <w:r>
        <w:rPr>
          <w:rFonts w:hint="eastAsia" w:ascii="宋体" w:hAnsi="宋体" w:eastAsia="宋体" w:cs="宋体"/>
          <w:bCs/>
          <w:color w:val="auto"/>
          <w:sz w:val="21"/>
          <w:szCs w:val="21"/>
          <w:highlight w:val="none"/>
          <w:u w:val="single"/>
        </w:rPr>
        <w:t>暂列金额只能按照发包人的指示使用，并对合同价格进行相应调整</w:t>
      </w:r>
      <w:r>
        <w:rPr>
          <w:rFonts w:hint="eastAsia" w:ascii="宋体" w:hAnsi="宋体" w:eastAsia="宋体" w:cs="宋体"/>
          <w:color w:val="auto"/>
          <w:kern w:val="0"/>
          <w:sz w:val="21"/>
          <w:szCs w:val="21"/>
          <w:highlight w:val="none"/>
          <w:u w:val="single"/>
        </w:rPr>
        <w:t>。</w:t>
      </w:r>
    </w:p>
    <w:p w14:paraId="5FB6A8B4">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460" w:name="_Toc51164680"/>
      <w:bookmarkStart w:id="461" w:name="_Toc23039"/>
      <w:bookmarkStart w:id="462" w:name="_Toc351203643"/>
      <w:r>
        <w:rPr>
          <w:rFonts w:hint="eastAsia" w:ascii="宋体" w:hAnsi="宋体" w:eastAsia="宋体" w:cs="宋体"/>
          <w:b/>
          <w:color w:val="auto"/>
          <w:kern w:val="0"/>
          <w:sz w:val="21"/>
          <w:szCs w:val="21"/>
          <w:highlight w:val="none"/>
          <w:lang w:val="en-US" w:eastAsia="zh-CN" w:bidi="ar-SA"/>
        </w:rPr>
        <w:t>11. 价格调整</w:t>
      </w:r>
      <w:bookmarkEnd w:id="460"/>
      <w:bookmarkEnd w:id="461"/>
      <w:bookmarkEnd w:id="462"/>
    </w:p>
    <w:p w14:paraId="22D10A46">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bookmarkStart w:id="463" w:name="_Toc292559911"/>
      <w:bookmarkStart w:id="464" w:name="_Toc297120501"/>
      <w:bookmarkStart w:id="465" w:name="_Toc296944540"/>
      <w:bookmarkStart w:id="466" w:name="_Toc296891029"/>
      <w:bookmarkStart w:id="467" w:name="_Toc292559406"/>
      <w:bookmarkStart w:id="468" w:name="_Toc300935000"/>
      <w:bookmarkStart w:id="469" w:name="_Toc296891241"/>
      <w:bookmarkStart w:id="470" w:name="_Toc304295577"/>
      <w:bookmarkStart w:id="471" w:name="_Toc296503201"/>
      <w:bookmarkStart w:id="472" w:name="_Toc312678039"/>
      <w:bookmarkStart w:id="473" w:name="_Toc296347200"/>
      <w:bookmarkStart w:id="474" w:name="_Toc296346702"/>
      <w:bookmarkStart w:id="475" w:name="_Toc303539157"/>
      <w:bookmarkStart w:id="476" w:name="_Toc297048387"/>
      <w:bookmarkStart w:id="477" w:name="_Toc297123550"/>
      <w:bookmarkStart w:id="478" w:name="_Toc297216209"/>
      <w:r>
        <w:rPr>
          <w:rFonts w:hint="eastAsia" w:ascii="宋体" w:hAnsi="宋体" w:eastAsia="宋体" w:cs="宋体"/>
          <w:color w:val="auto"/>
          <w:sz w:val="21"/>
          <w:szCs w:val="21"/>
          <w:highlight w:val="none"/>
        </w:rPr>
        <w:t>11.1 市场价格波动引起的调整</w:t>
      </w:r>
    </w:p>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14:paraId="3D0FE97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市场价格波动是否调整合同价格的约定：</w:t>
      </w:r>
      <w:r>
        <w:rPr>
          <w:rFonts w:hint="eastAsia" w:ascii="宋体" w:hAnsi="宋体" w:eastAsia="宋体" w:cs="宋体"/>
          <w:bCs/>
          <w:color w:val="auto"/>
          <w:sz w:val="21"/>
          <w:szCs w:val="21"/>
          <w:highlight w:val="none"/>
          <w:u w:val="single"/>
        </w:rPr>
        <w:t>施工期间材料价格涨跌调整按苏建价</w:t>
      </w:r>
      <w:r>
        <w:rPr>
          <w:rFonts w:hint="eastAsia" w:ascii="宋体" w:hAnsi="宋体" w:eastAsia="宋体" w:cs="宋体"/>
          <w:bCs/>
          <w:color w:val="auto"/>
          <w:sz w:val="21"/>
          <w:szCs w:val="21"/>
          <w:highlight w:val="none"/>
          <w:u w:val="single"/>
          <w:lang w:eastAsia="zh-CN"/>
        </w:rPr>
        <w:t>〔2008〕67号</w:t>
      </w:r>
      <w:r>
        <w:rPr>
          <w:rFonts w:hint="eastAsia" w:ascii="宋体" w:hAnsi="宋体" w:eastAsia="宋体" w:cs="宋体"/>
          <w:bCs/>
          <w:color w:val="auto"/>
          <w:sz w:val="21"/>
          <w:szCs w:val="21"/>
          <w:highlight w:val="none"/>
          <w:u w:val="single"/>
        </w:rPr>
        <w:t>文的规定执行</w:t>
      </w:r>
      <w:r>
        <w:rPr>
          <w:rFonts w:hint="eastAsia" w:ascii="宋体" w:hAnsi="宋体" w:eastAsia="宋体" w:cs="宋体"/>
          <w:color w:val="auto"/>
          <w:sz w:val="21"/>
          <w:szCs w:val="21"/>
          <w:highlight w:val="none"/>
          <w:u w:val="single"/>
        </w:rPr>
        <w:t>。</w:t>
      </w:r>
    </w:p>
    <w:p w14:paraId="2207DA5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因市场价格波动调整合同价格，采用以下第</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种方式对合同价格进行调整：</w:t>
      </w:r>
    </w:p>
    <w:p w14:paraId="3C8FA5D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第1种方式：</w:t>
      </w:r>
      <w:r>
        <w:rPr>
          <w:rFonts w:hint="eastAsia" w:ascii="宋体" w:hAnsi="宋体" w:eastAsia="宋体" w:cs="宋体"/>
          <w:color w:val="auto"/>
          <w:sz w:val="21"/>
          <w:szCs w:val="21"/>
          <w:highlight w:val="none"/>
          <w:u w:val="single"/>
        </w:rPr>
        <w:t>采用价格指数进行价格调整。</w:t>
      </w:r>
    </w:p>
    <w:p w14:paraId="54AF106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关于各可调因子、定值和变值权重，以及基本价格指数及其来源的约定：</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 xml:space="preserve">；  </w:t>
      </w:r>
    </w:p>
    <w:p w14:paraId="727B76D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第2种方式：</w:t>
      </w:r>
      <w:r>
        <w:rPr>
          <w:rFonts w:hint="eastAsia" w:ascii="宋体" w:hAnsi="宋体" w:eastAsia="宋体" w:cs="宋体"/>
          <w:color w:val="auto"/>
          <w:sz w:val="21"/>
          <w:szCs w:val="21"/>
          <w:highlight w:val="none"/>
          <w:u w:val="single"/>
        </w:rPr>
        <w:t>采用造价信息进行价格调整。</w:t>
      </w:r>
    </w:p>
    <w:p w14:paraId="16FE63A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（2）关于基准价格的约定</w:t>
      </w:r>
      <w:r>
        <w:rPr>
          <w:rFonts w:hint="eastAsia" w:ascii="宋体" w:hAnsi="宋体" w:eastAsia="宋体" w:cs="宋体"/>
          <w:color w:val="auto"/>
          <w:sz w:val="21"/>
          <w:szCs w:val="21"/>
          <w:highlight w:val="none"/>
          <w:u w:val="single"/>
        </w:rPr>
        <w:t>：</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rPr>
        <w:t>。</w:t>
      </w:r>
    </w:p>
    <w:p w14:paraId="466D60B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专用合同条款①承包人在已标价工程量清单或预算书中载明的材料单价低于基准价格的：</w:t>
      </w:r>
      <w:r>
        <w:rPr>
          <w:rFonts w:hint="eastAsia" w:ascii="宋体" w:hAnsi="宋体" w:eastAsia="宋体" w:cs="宋体"/>
          <w:color w:val="auto"/>
          <w:sz w:val="21"/>
          <w:szCs w:val="21"/>
          <w:highlight w:val="none"/>
          <w:u w:val="single"/>
        </w:rPr>
        <w:t>专用合同条款合同履行期间材料单价涨幅以基准价格为基础超过</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u w:val="single"/>
        </w:rPr>
        <w:t>%时，或材料单价跌幅以已标价工程量清单或预算书中载明材料单价为基础超过</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u w:val="single"/>
        </w:rPr>
        <w:t>%时，其超过部分据实调整。</w:t>
      </w:r>
    </w:p>
    <w:p w14:paraId="33F6511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②承包人在已标价工程量清单或预算书中载明的材料单价高于基准价格的：</w:t>
      </w:r>
      <w:r>
        <w:rPr>
          <w:rFonts w:hint="eastAsia" w:ascii="宋体" w:hAnsi="宋体" w:eastAsia="宋体" w:cs="宋体"/>
          <w:color w:val="auto"/>
          <w:sz w:val="21"/>
          <w:szCs w:val="21"/>
          <w:highlight w:val="none"/>
          <w:u w:val="single"/>
        </w:rPr>
        <w:t>专用合同条款合同履行期间材料单价跌幅以基准价格为基础超过</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u w:val="single"/>
        </w:rPr>
        <w:t>%时，材料单价涨幅以已标价工程量清单或预算书中载明材料单价为基础超过</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u w:val="single"/>
        </w:rPr>
        <w:t>%时，其超过部分据实调整。</w:t>
      </w:r>
    </w:p>
    <w:p w14:paraId="7F6D538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③承包人在已标价工程量清单或预算书中载明的材料单价等于基准单价的：</w:t>
      </w:r>
      <w:r>
        <w:rPr>
          <w:rFonts w:hint="eastAsia" w:ascii="宋体" w:hAnsi="宋体" w:eastAsia="宋体" w:cs="宋体"/>
          <w:color w:val="auto"/>
          <w:sz w:val="21"/>
          <w:szCs w:val="21"/>
          <w:highlight w:val="none"/>
          <w:u w:val="single"/>
        </w:rPr>
        <w:t>专用合同条款合同履行期间材料单价涨跌幅以基准单价为基础超过±</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u w:val="single"/>
        </w:rPr>
        <w:t>%时，其超过部分据实调整。</w:t>
      </w:r>
    </w:p>
    <w:p w14:paraId="4855A77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第3种方式：其他价格调整方式</w:t>
      </w:r>
      <w:r>
        <w:rPr>
          <w:rFonts w:hint="eastAsia" w:ascii="宋体" w:hAnsi="宋体" w:eastAsia="宋体" w:cs="宋体"/>
          <w:color w:val="auto"/>
          <w:sz w:val="21"/>
          <w:szCs w:val="21"/>
          <w:highlight w:val="none"/>
          <w:u w:val="single"/>
        </w:rPr>
        <w:t>：</w:t>
      </w:r>
      <w:r>
        <w:rPr>
          <w:rFonts w:hint="eastAsia" w:ascii="宋体" w:hAnsi="宋体" w:eastAsia="宋体" w:cs="宋体"/>
          <w:bCs/>
          <w:color w:val="auto"/>
          <w:sz w:val="21"/>
          <w:szCs w:val="21"/>
          <w:highlight w:val="none"/>
          <w:u w:val="single"/>
        </w:rPr>
        <w:t>/</w:t>
      </w:r>
      <w:r>
        <w:rPr>
          <w:rFonts w:hint="eastAsia" w:ascii="宋体" w:hAnsi="宋体" w:eastAsia="宋体" w:cs="宋体"/>
          <w:color w:val="auto"/>
          <w:sz w:val="21"/>
          <w:szCs w:val="21"/>
          <w:highlight w:val="none"/>
          <w:u w:val="single"/>
        </w:rPr>
        <w:t>。</w:t>
      </w:r>
    </w:p>
    <w:bookmarkEnd w:id="364"/>
    <w:bookmarkEnd w:id="365"/>
    <w:bookmarkEnd w:id="366"/>
    <w:bookmarkEnd w:id="367"/>
    <w:bookmarkEnd w:id="368"/>
    <w:bookmarkEnd w:id="369"/>
    <w:p w14:paraId="3A44969F">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479" w:name="_Toc296944544"/>
      <w:bookmarkStart w:id="480" w:name="_Toc296891245"/>
      <w:bookmarkStart w:id="481" w:name="_Toc297120505"/>
      <w:bookmarkStart w:id="482" w:name="_Toc296346706"/>
      <w:bookmarkStart w:id="483" w:name="_Toc292559915"/>
      <w:bookmarkStart w:id="484" w:name="_Toc296891033"/>
      <w:bookmarkStart w:id="485" w:name="_Toc296503205"/>
      <w:bookmarkStart w:id="486" w:name="_Toc296347204"/>
      <w:bookmarkStart w:id="487" w:name="_Toc297048391"/>
      <w:bookmarkStart w:id="488" w:name="_Toc292559410"/>
      <w:bookmarkStart w:id="489" w:name="_Toc351203644"/>
      <w:bookmarkStart w:id="490" w:name="_Toc27012"/>
      <w:bookmarkStart w:id="491" w:name="_Toc51164681"/>
      <w:bookmarkStart w:id="492" w:name="_Toc300935002"/>
      <w:bookmarkStart w:id="493" w:name="_Toc303539159"/>
      <w:bookmarkStart w:id="494" w:name="_Toc297123552"/>
      <w:bookmarkStart w:id="495" w:name="_Toc312678040"/>
      <w:bookmarkStart w:id="496" w:name="_Toc297216211"/>
      <w:bookmarkStart w:id="497" w:name="_Toc304295579"/>
      <w:r>
        <w:rPr>
          <w:rFonts w:hint="eastAsia" w:ascii="宋体" w:hAnsi="宋体" w:eastAsia="宋体" w:cs="宋体"/>
          <w:b/>
          <w:color w:val="auto"/>
          <w:kern w:val="0"/>
          <w:sz w:val="21"/>
          <w:szCs w:val="21"/>
          <w:highlight w:val="none"/>
          <w:lang w:val="en-US" w:eastAsia="zh-CN" w:bidi="ar-SA"/>
        </w:rPr>
        <w:t xml:space="preserve">12. </w:t>
      </w:r>
      <w:bookmarkEnd w:id="479"/>
      <w:bookmarkEnd w:id="480"/>
      <w:bookmarkEnd w:id="481"/>
      <w:bookmarkEnd w:id="482"/>
      <w:bookmarkEnd w:id="483"/>
      <w:bookmarkEnd w:id="484"/>
      <w:bookmarkEnd w:id="485"/>
      <w:bookmarkEnd w:id="486"/>
      <w:bookmarkEnd w:id="487"/>
      <w:bookmarkEnd w:id="488"/>
      <w:r>
        <w:rPr>
          <w:rFonts w:hint="eastAsia" w:ascii="宋体" w:hAnsi="宋体" w:eastAsia="宋体" w:cs="宋体"/>
          <w:b/>
          <w:color w:val="auto"/>
          <w:kern w:val="0"/>
          <w:sz w:val="21"/>
          <w:szCs w:val="21"/>
          <w:highlight w:val="none"/>
          <w:lang w:val="en-US" w:eastAsia="zh-CN" w:bidi="ar-SA"/>
        </w:rPr>
        <w:t>合同价格、计量与支付</w:t>
      </w:r>
      <w:bookmarkEnd w:id="489"/>
      <w:bookmarkEnd w:id="490"/>
      <w:bookmarkEnd w:id="491"/>
    </w:p>
    <w:bookmarkEnd w:id="492"/>
    <w:bookmarkEnd w:id="493"/>
    <w:bookmarkEnd w:id="494"/>
    <w:bookmarkEnd w:id="495"/>
    <w:bookmarkEnd w:id="496"/>
    <w:bookmarkEnd w:id="497"/>
    <w:p w14:paraId="62839417">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bookmarkStart w:id="498" w:name="_Toc267251461"/>
      <w:bookmarkStart w:id="499" w:name="_Toc292559916"/>
      <w:bookmarkStart w:id="500" w:name="_Toc292559411"/>
      <w:bookmarkStart w:id="501" w:name="_Toc296944545"/>
      <w:bookmarkStart w:id="502" w:name="_Toc296891246"/>
      <w:bookmarkStart w:id="503" w:name="_Toc297048392"/>
      <w:bookmarkStart w:id="504" w:name="_Toc296347205"/>
      <w:bookmarkStart w:id="505" w:name="_Toc296346707"/>
      <w:bookmarkStart w:id="506" w:name="_Toc296503206"/>
      <w:bookmarkStart w:id="507" w:name="_Toc296891034"/>
      <w:bookmarkStart w:id="508" w:name="_Toc297120506"/>
      <w:bookmarkStart w:id="509" w:name="_Toc304295580"/>
      <w:bookmarkStart w:id="510" w:name="_Toc297216212"/>
      <w:bookmarkStart w:id="511" w:name="_Toc300935003"/>
      <w:bookmarkStart w:id="512" w:name="_Toc312678041"/>
      <w:bookmarkStart w:id="513" w:name="_Toc297123553"/>
      <w:bookmarkStart w:id="514" w:name="_Toc303539160"/>
      <w:r>
        <w:rPr>
          <w:rFonts w:hint="eastAsia" w:ascii="宋体" w:hAnsi="宋体" w:eastAsia="宋体" w:cs="宋体"/>
          <w:color w:val="auto"/>
          <w:sz w:val="21"/>
          <w:szCs w:val="21"/>
          <w:highlight w:val="none"/>
        </w:rPr>
        <w:t xml:space="preserve">12.1 </w:t>
      </w:r>
      <w:r>
        <w:rPr>
          <w:rFonts w:hint="eastAsia" w:ascii="宋体" w:hAnsi="宋体" w:eastAsia="宋体" w:cs="宋体"/>
          <w:b/>
          <w:bCs/>
          <w:color w:val="auto"/>
          <w:sz w:val="21"/>
          <w:szCs w:val="21"/>
          <w:highlight w:val="none"/>
        </w:rPr>
        <w:t>合</w:t>
      </w:r>
      <w:bookmarkEnd w:id="498"/>
      <w:bookmarkEnd w:id="499"/>
      <w:bookmarkEnd w:id="500"/>
      <w:r>
        <w:rPr>
          <w:rFonts w:hint="eastAsia" w:ascii="宋体" w:hAnsi="宋体" w:eastAsia="宋体" w:cs="宋体"/>
          <w:b/>
          <w:bCs/>
          <w:color w:val="auto"/>
          <w:sz w:val="21"/>
          <w:szCs w:val="21"/>
          <w:highlight w:val="none"/>
        </w:rPr>
        <w:t>同价</w:t>
      </w:r>
      <w:bookmarkEnd w:id="501"/>
      <w:bookmarkEnd w:id="502"/>
      <w:bookmarkEnd w:id="503"/>
      <w:bookmarkEnd w:id="504"/>
      <w:bookmarkEnd w:id="505"/>
      <w:bookmarkEnd w:id="506"/>
      <w:bookmarkEnd w:id="507"/>
      <w:bookmarkEnd w:id="508"/>
      <w:r>
        <w:rPr>
          <w:rFonts w:hint="eastAsia" w:ascii="宋体" w:hAnsi="宋体" w:eastAsia="宋体" w:cs="宋体"/>
          <w:b/>
          <w:bCs/>
          <w:color w:val="auto"/>
          <w:sz w:val="21"/>
          <w:szCs w:val="21"/>
          <w:highlight w:val="none"/>
        </w:rPr>
        <w:t>格形式</w:t>
      </w:r>
    </w:p>
    <w:bookmarkEnd w:id="509"/>
    <w:bookmarkEnd w:id="510"/>
    <w:bookmarkEnd w:id="511"/>
    <w:bookmarkEnd w:id="512"/>
    <w:bookmarkEnd w:id="513"/>
    <w:bookmarkEnd w:id="514"/>
    <w:p w14:paraId="5D1E5A3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0000FF"/>
          <w:sz w:val="21"/>
          <w:szCs w:val="21"/>
          <w:highlight w:val="none"/>
        </w:rPr>
      </w:pPr>
      <w:r>
        <w:rPr>
          <w:rFonts w:hint="eastAsia" w:ascii="宋体" w:hAnsi="宋体" w:eastAsia="宋体" w:cs="宋体"/>
          <w:color w:val="0000FF"/>
          <w:sz w:val="21"/>
          <w:szCs w:val="21"/>
          <w:highlight w:val="none"/>
        </w:rPr>
        <w:t>1、单价合同。</w:t>
      </w:r>
    </w:p>
    <w:p w14:paraId="3F4E4D4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综合单价包含的风险范围：</w:t>
      </w:r>
    </w:p>
    <w:p w14:paraId="219F5709">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val="en-US" w:eastAsia="zh-CN"/>
        </w:rPr>
      </w:pPr>
      <w:r>
        <w:rPr>
          <w:rFonts w:hint="eastAsia" w:ascii="宋体" w:hAnsi="宋体" w:eastAsia="宋体" w:cs="宋体"/>
          <w:bCs/>
          <w:color w:val="auto"/>
          <w:sz w:val="21"/>
          <w:szCs w:val="21"/>
          <w:highlight w:val="none"/>
          <w:u w:val="single"/>
        </w:rPr>
        <w:t>1.承包人的</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施工方案、现场施工条件</w:t>
      </w:r>
      <w:r>
        <w:rPr>
          <w:rFonts w:hint="eastAsia" w:ascii="宋体" w:hAnsi="宋体" w:eastAsia="宋体" w:cs="宋体"/>
          <w:bCs/>
          <w:color w:val="auto"/>
          <w:sz w:val="21"/>
          <w:szCs w:val="21"/>
          <w:highlight w:val="none"/>
          <w:u w:val="single"/>
          <w:lang w:val="en-US" w:eastAsia="zh-CN"/>
        </w:rPr>
        <w:t>；</w:t>
      </w:r>
    </w:p>
    <w:p w14:paraId="5DE68CEB">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eastAsia="zh-CN"/>
        </w:rPr>
      </w:pPr>
      <w:r>
        <w:rPr>
          <w:rFonts w:hint="eastAsia" w:ascii="宋体" w:hAnsi="宋体" w:eastAsia="宋体" w:cs="宋体"/>
          <w:bCs/>
          <w:color w:val="auto"/>
          <w:sz w:val="21"/>
          <w:szCs w:val="21"/>
          <w:highlight w:val="none"/>
          <w:u w:val="single"/>
        </w:rPr>
        <w:t>2.工程量变化产生的前期费用</w:t>
      </w:r>
      <w:r>
        <w:rPr>
          <w:rFonts w:hint="eastAsia" w:ascii="宋体" w:hAnsi="宋体" w:eastAsia="宋体" w:cs="宋体"/>
          <w:bCs/>
          <w:color w:val="auto"/>
          <w:sz w:val="21"/>
          <w:szCs w:val="21"/>
          <w:highlight w:val="none"/>
          <w:u w:val="single"/>
          <w:lang w:eastAsia="zh-CN"/>
        </w:rPr>
        <w:t>；</w:t>
      </w:r>
    </w:p>
    <w:p w14:paraId="01893CEA">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eastAsia="zh-CN"/>
        </w:rPr>
      </w:pPr>
      <w:r>
        <w:rPr>
          <w:rFonts w:hint="eastAsia" w:ascii="宋体" w:hAnsi="宋体" w:eastAsia="宋体" w:cs="宋体"/>
          <w:bCs/>
          <w:color w:val="auto"/>
          <w:sz w:val="21"/>
          <w:szCs w:val="21"/>
          <w:highlight w:val="none"/>
          <w:u w:val="single"/>
        </w:rPr>
        <w:t>3.市场风险，包括且不限于采用新的验收标准等</w:t>
      </w:r>
      <w:r>
        <w:rPr>
          <w:rFonts w:hint="eastAsia" w:ascii="宋体" w:hAnsi="宋体" w:eastAsia="宋体" w:cs="宋体"/>
          <w:bCs/>
          <w:color w:val="auto"/>
          <w:sz w:val="21"/>
          <w:szCs w:val="21"/>
          <w:highlight w:val="none"/>
          <w:u w:val="single"/>
          <w:lang w:eastAsia="zh-CN"/>
        </w:rPr>
        <w:t>；</w:t>
      </w:r>
    </w:p>
    <w:p w14:paraId="74E0D8B9">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lang w:eastAsia="zh-CN"/>
        </w:rPr>
      </w:pPr>
      <w:r>
        <w:rPr>
          <w:rFonts w:hint="eastAsia" w:ascii="宋体" w:hAnsi="宋体" w:eastAsia="宋体" w:cs="宋体"/>
          <w:bCs/>
          <w:color w:val="auto"/>
          <w:sz w:val="21"/>
          <w:szCs w:val="21"/>
          <w:highlight w:val="none"/>
          <w:u w:val="single"/>
          <w:lang w:val="en-US" w:eastAsia="zh-CN"/>
        </w:rPr>
        <w:t>4.</w:t>
      </w:r>
      <w:r>
        <w:rPr>
          <w:rFonts w:hint="eastAsia" w:ascii="宋体" w:hAnsi="宋体" w:eastAsia="宋体" w:cs="宋体"/>
          <w:bCs/>
          <w:color w:val="auto"/>
          <w:sz w:val="21"/>
          <w:szCs w:val="21"/>
          <w:highlight w:val="none"/>
          <w:u w:val="single"/>
        </w:rPr>
        <w:t>工程材料（设备）市场价格在苏建价</w:t>
      </w:r>
      <w:r>
        <w:rPr>
          <w:rFonts w:hint="eastAsia" w:ascii="宋体" w:hAnsi="宋体" w:eastAsia="宋体" w:cs="宋体"/>
          <w:bCs/>
          <w:color w:val="auto"/>
          <w:sz w:val="21"/>
          <w:szCs w:val="21"/>
          <w:highlight w:val="none"/>
          <w:u w:val="single"/>
          <w:lang w:eastAsia="zh-CN"/>
        </w:rPr>
        <w:t>〔2008〕67号</w:t>
      </w:r>
      <w:r>
        <w:rPr>
          <w:rFonts w:hint="eastAsia" w:ascii="宋体" w:hAnsi="宋体" w:eastAsia="宋体" w:cs="宋体"/>
          <w:bCs/>
          <w:color w:val="auto"/>
          <w:sz w:val="21"/>
          <w:szCs w:val="21"/>
          <w:highlight w:val="none"/>
          <w:u w:val="single"/>
        </w:rPr>
        <w:t>文规定的范围内的波动</w:t>
      </w:r>
      <w:r>
        <w:rPr>
          <w:rFonts w:hint="eastAsia" w:ascii="宋体" w:hAnsi="宋体" w:eastAsia="宋体" w:cs="宋体"/>
          <w:bCs/>
          <w:color w:val="auto"/>
          <w:sz w:val="21"/>
          <w:szCs w:val="21"/>
          <w:highlight w:val="none"/>
          <w:u w:val="single"/>
          <w:lang w:eastAsia="zh-CN"/>
        </w:rPr>
        <w:t>；</w:t>
      </w:r>
    </w:p>
    <w:p w14:paraId="6C81A4BC">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lang w:val="en-US" w:eastAsia="zh-CN"/>
        </w:rPr>
        <w:t>5.</w:t>
      </w:r>
      <w:r>
        <w:rPr>
          <w:rFonts w:hint="eastAsia" w:ascii="宋体" w:hAnsi="宋体" w:eastAsia="宋体" w:cs="宋体"/>
          <w:bCs/>
          <w:color w:val="auto"/>
          <w:sz w:val="21"/>
          <w:szCs w:val="21"/>
          <w:highlight w:val="none"/>
          <w:u w:val="single"/>
        </w:rPr>
        <w:t>单价措施项目的综合单价（不随工程量的增减而调整，除设计变更引起的模板、脚手可以调整外）。</w:t>
      </w:r>
    </w:p>
    <w:p w14:paraId="779B9F4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风险费用的计算方法：</w:t>
      </w:r>
      <w:r>
        <w:rPr>
          <w:rFonts w:hint="eastAsia" w:ascii="宋体" w:hAnsi="宋体" w:eastAsia="宋体" w:cs="宋体"/>
          <w:bCs/>
          <w:color w:val="auto"/>
          <w:sz w:val="21"/>
          <w:szCs w:val="21"/>
          <w:highlight w:val="none"/>
          <w:u w:val="single"/>
        </w:rPr>
        <w:t>综合考虑在</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综合单价内，在合同约定风险范围内不作调整</w:t>
      </w:r>
      <w:r>
        <w:rPr>
          <w:rFonts w:hint="eastAsia" w:ascii="宋体" w:hAnsi="宋体" w:eastAsia="宋体" w:cs="宋体"/>
          <w:color w:val="auto"/>
          <w:sz w:val="21"/>
          <w:szCs w:val="21"/>
          <w:highlight w:val="none"/>
          <w:u w:val="single"/>
        </w:rPr>
        <w:t>。</w:t>
      </w:r>
    </w:p>
    <w:p w14:paraId="61AC239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bCs/>
          <w:color w:val="auto"/>
          <w:sz w:val="21"/>
          <w:szCs w:val="21"/>
          <w:highlight w:val="none"/>
          <w:u w:val="single"/>
        </w:rPr>
        <w:t>风险范围以外的内容：</w:t>
      </w:r>
    </w:p>
    <w:p w14:paraId="25CA983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1.设计变更引起的工程量增减；2.发包人要求的承包范围以外的附加工程量；3.暂估价材料、暂估价项目；4.发包人确认的其它项目；5.政策性调整</w:t>
      </w:r>
      <w:r>
        <w:rPr>
          <w:rFonts w:hint="eastAsia" w:ascii="宋体" w:hAnsi="宋体" w:eastAsia="宋体" w:cs="宋体"/>
          <w:bCs/>
          <w:color w:val="auto"/>
          <w:sz w:val="21"/>
          <w:szCs w:val="21"/>
          <w:highlight w:val="none"/>
          <w:u w:val="single"/>
          <w:lang w:eastAsia="zh-CN"/>
        </w:rPr>
        <w:t>：</w:t>
      </w:r>
      <w:r>
        <w:rPr>
          <w:rFonts w:hint="eastAsia" w:ascii="宋体" w:hAnsi="宋体" w:eastAsia="宋体" w:cs="宋体"/>
          <w:bCs/>
          <w:color w:val="auto"/>
          <w:sz w:val="21"/>
          <w:szCs w:val="21"/>
          <w:highlight w:val="none"/>
          <w:u w:val="single"/>
          <w:lang w:val="en-US" w:eastAsia="zh-CN"/>
        </w:rPr>
        <w:t>除人工费用可按政策调整外，其余不调整；人工按政策调整后按中标优惠率同步下浮</w:t>
      </w:r>
      <w:r>
        <w:rPr>
          <w:rFonts w:hint="eastAsia" w:ascii="宋体" w:hAnsi="宋体" w:eastAsia="宋体" w:cs="宋体"/>
          <w:bCs/>
          <w:color w:val="auto"/>
          <w:sz w:val="21"/>
          <w:szCs w:val="21"/>
          <w:highlight w:val="none"/>
          <w:u w:val="single"/>
        </w:rPr>
        <w:t>；6.</w:t>
      </w:r>
      <w:r>
        <w:rPr>
          <w:rFonts w:hint="eastAsia" w:ascii="宋体" w:hAnsi="宋体" w:eastAsia="宋体" w:cs="宋体"/>
          <w:bCs/>
          <w:color w:val="auto"/>
          <w:sz w:val="21"/>
          <w:szCs w:val="21"/>
          <w:highlight w:val="none"/>
          <w:u w:val="single"/>
          <w:lang w:val="en-US" w:eastAsia="zh-CN"/>
        </w:rPr>
        <w:t>工程材料市场价格风险可按苏建价〔2008〕67号文规定的范围进行调整；7.</w:t>
      </w:r>
      <w:r>
        <w:rPr>
          <w:rFonts w:hint="eastAsia" w:ascii="宋体" w:hAnsi="宋体" w:eastAsia="宋体" w:cs="宋体"/>
          <w:bCs/>
          <w:color w:val="auto"/>
          <w:sz w:val="21"/>
          <w:szCs w:val="21"/>
          <w:highlight w:val="none"/>
          <w:u w:val="single"/>
        </w:rPr>
        <w:t>发包人提出对乙供部分材料进行更改，引起的价差。</w:t>
      </w:r>
    </w:p>
    <w:p w14:paraId="44F98A5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风险范围以外合同价格的调整方法：</w:t>
      </w:r>
    </w:p>
    <w:p w14:paraId="5F53582B">
      <w:pPr>
        <w:pageBreakBefore w:val="0"/>
        <w:widowControl w:val="0"/>
        <w:numPr>
          <w:ilvl w:val="0"/>
          <w:numId w:val="0"/>
        </w:numPr>
        <w:kinsoku/>
        <w:wordWrap/>
        <w:overflowPunct/>
        <w:topLinePunct w:val="0"/>
        <w:bidi w:val="0"/>
        <w:snapToGrid/>
        <w:spacing w:line="400" w:lineRule="exact"/>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lang w:val="en-US" w:eastAsia="zh-CN"/>
        </w:rPr>
        <w:t>1、</w:t>
      </w:r>
      <w:r>
        <w:rPr>
          <w:rFonts w:hint="eastAsia" w:ascii="宋体" w:hAnsi="宋体" w:eastAsia="宋体" w:cs="宋体"/>
          <w:bCs/>
          <w:color w:val="auto"/>
          <w:sz w:val="21"/>
          <w:szCs w:val="21"/>
          <w:highlight w:val="none"/>
          <w:u w:val="single"/>
        </w:rPr>
        <w:t>工程量应由承包人按在履行合同义务过程中实际完成的工程量（包括设计变更、发包人指令等经审批通过的工程量增减）计算后向发包人提出，经审计</w:t>
      </w:r>
      <w:r>
        <w:rPr>
          <w:rFonts w:hint="eastAsia" w:ascii="宋体" w:hAnsi="宋体" w:eastAsia="宋体" w:cs="宋体"/>
          <w:bCs/>
          <w:color w:val="auto"/>
          <w:sz w:val="21"/>
          <w:szCs w:val="21"/>
          <w:highlight w:val="none"/>
          <w:u w:val="single"/>
          <w:lang w:val="en-US" w:eastAsia="zh-CN"/>
        </w:rPr>
        <w:t>部门</w:t>
      </w:r>
      <w:r>
        <w:rPr>
          <w:rFonts w:hint="eastAsia" w:ascii="宋体" w:hAnsi="宋体" w:eastAsia="宋体" w:cs="宋体"/>
          <w:bCs/>
          <w:color w:val="auto"/>
          <w:sz w:val="21"/>
          <w:szCs w:val="21"/>
          <w:highlight w:val="none"/>
          <w:u w:val="single"/>
        </w:rPr>
        <w:t>审计后按审定数量结算。</w:t>
      </w:r>
    </w:p>
    <w:p w14:paraId="412A5A83">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2、施工期间工程材料价格出现大幅波动（即价格波动超出苏建价</w:t>
      </w:r>
      <w:r>
        <w:rPr>
          <w:rFonts w:hint="eastAsia" w:ascii="宋体" w:hAnsi="宋体" w:eastAsia="宋体" w:cs="宋体"/>
          <w:bCs/>
          <w:color w:val="auto"/>
          <w:sz w:val="21"/>
          <w:szCs w:val="21"/>
          <w:highlight w:val="none"/>
          <w:u w:val="single"/>
          <w:lang w:eastAsia="zh-CN"/>
        </w:rPr>
        <w:t>〔2008〕67号</w:t>
      </w:r>
      <w:r>
        <w:rPr>
          <w:rFonts w:hint="eastAsia" w:ascii="宋体" w:hAnsi="宋体" w:eastAsia="宋体" w:cs="宋体"/>
          <w:bCs/>
          <w:color w:val="auto"/>
          <w:sz w:val="21"/>
          <w:szCs w:val="21"/>
          <w:highlight w:val="none"/>
          <w:u w:val="single"/>
        </w:rPr>
        <w:t>文规定的各类材料相应的波动幅度风险范围上限或下限），按苏建价</w:t>
      </w:r>
      <w:r>
        <w:rPr>
          <w:rFonts w:hint="eastAsia" w:ascii="宋体" w:hAnsi="宋体" w:eastAsia="宋体" w:cs="宋体"/>
          <w:bCs/>
          <w:color w:val="auto"/>
          <w:sz w:val="21"/>
          <w:szCs w:val="21"/>
          <w:highlight w:val="none"/>
          <w:u w:val="single"/>
          <w:lang w:eastAsia="zh-CN"/>
        </w:rPr>
        <w:t>〔2008〕67号</w:t>
      </w:r>
      <w:r>
        <w:rPr>
          <w:rFonts w:hint="eastAsia" w:ascii="宋体" w:hAnsi="宋体" w:eastAsia="宋体" w:cs="宋体"/>
          <w:bCs/>
          <w:color w:val="auto"/>
          <w:sz w:val="21"/>
          <w:szCs w:val="21"/>
          <w:highlight w:val="none"/>
          <w:u w:val="single"/>
        </w:rPr>
        <w:t>文的规定予以调整并按中标优惠率同步下浮。（说明：波动范围的计算以施工期各类材料加权平均价格（除税）与该项目招标当时常州市除税信息价）相比为准。没有除税信息指导价的，以发、承包双方经市场询价后确认的价格相比为准。）</w:t>
      </w:r>
    </w:p>
    <w:p w14:paraId="49DDE858">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3、因分部分项工程量清单漏项或因业主提出的设计变更部分，增加项目及签证部分造成新增的工程量清单综合单价的结算原则为：a．</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书中已有适用于变更工程的综合单价，按</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书中已有的综合单价结算；b．</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书中有类似于变更工程的综合单价，按</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书中已有的类似的综合单价作相应调整后结算；c．</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书中无类似综合单价，结算原则为：依据《建设工程工程量清单计价规范》（GB50500-2013）、《江苏省建筑与装饰工程计价定额》、《江苏省安装工程计价定额》、《江苏省市政工程计价定额》等计价规则中的标准并按中标优惠率同步下浮，材料价格按工程实施期间的常州信息指导价（无信息价的按确认价，材料价均为除税价），人工按施工期间的人工工资指导价，根据上述要求编制综合单价报发包人确认。</w:t>
      </w:r>
    </w:p>
    <w:p w14:paraId="3F807E6F">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4、以本工程</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截止日前28天为基准日，其后国家的法律、法规、规章和政府发生变化影响工程造价的，应按省级或行业建设主管部门或其授权的工程造价管理机构发布的规定调整合同价款。</w:t>
      </w:r>
    </w:p>
    <w:p w14:paraId="0098E5E7">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lang w:eastAsia="zh-CN"/>
        </w:rPr>
      </w:pPr>
      <w:r>
        <w:rPr>
          <w:rFonts w:hint="eastAsia" w:ascii="宋体" w:hAnsi="宋体" w:eastAsia="宋体" w:cs="宋体"/>
          <w:bCs/>
          <w:color w:val="auto"/>
          <w:sz w:val="21"/>
          <w:szCs w:val="21"/>
          <w:highlight w:val="none"/>
          <w:u w:val="single"/>
        </w:rPr>
        <w:t>5、工程施工过程中所有需要在合同价外另行增加的内容，承包人必须无条件服从发包人安排，不得以任何理由拖延施工；所涉及费用在竣工结算时由审计确认。</w:t>
      </w:r>
      <w:r>
        <w:rPr>
          <w:rFonts w:hint="eastAsia" w:ascii="宋体" w:hAnsi="宋体" w:eastAsia="宋体" w:cs="宋体"/>
          <w:bCs/>
          <w:color w:val="auto"/>
          <w:sz w:val="21"/>
          <w:szCs w:val="21"/>
          <w:highlight w:val="none"/>
          <w:u w:val="single"/>
          <w:lang w:eastAsia="zh-CN"/>
        </w:rPr>
        <w:t>工程施工过程中所有需要在合同价外另行增加费用的内容均</w:t>
      </w:r>
      <w:r>
        <w:rPr>
          <w:rFonts w:hint="eastAsia" w:ascii="宋体" w:hAnsi="宋体" w:eastAsia="宋体" w:cs="宋体"/>
          <w:bCs/>
          <w:color w:val="0000FF"/>
          <w:sz w:val="21"/>
          <w:szCs w:val="21"/>
          <w:highlight w:val="none"/>
          <w:u w:val="single"/>
          <w:lang w:eastAsia="zh-CN"/>
        </w:rPr>
        <w:t>须学校（至少两人：总务主任或总务副主任、分管副校长或校长签字）事先书面签字后报教育局（建装中心、规财科、分管局长）审批同意，否则一概不予结算</w:t>
      </w:r>
      <w:r>
        <w:rPr>
          <w:rFonts w:hint="eastAsia" w:ascii="宋体" w:hAnsi="宋体" w:eastAsia="宋体" w:cs="宋体"/>
          <w:bCs/>
          <w:color w:val="auto"/>
          <w:sz w:val="21"/>
          <w:szCs w:val="21"/>
          <w:highlight w:val="none"/>
          <w:u w:val="single"/>
          <w:lang w:eastAsia="zh-CN"/>
        </w:rPr>
        <w:t>。</w:t>
      </w:r>
    </w:p>
    <w:p w14:paraId="12B7A8FA">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6、所有涉及工程结算的隐蔽签证单上</w:t>
      </w:r>
      <w:r>
        <w:rPr>
          <w:rFonts w:hint="eastAsia" w:ascii="宋体" w:hAnsi="宋体" w:eastAsia="宋体" w:cs="宋体"/>
          <w:bCs/>
          <w:color w:val="0000FF"/>
          <w:sz w:val="21"/>
          <w:szCs w:val="21"/>
          <w:highlight w:val="none"/>
          <w:u w:val="single"/>
        </w:rPr>
        <w:t>必须由学校（至少两人：总务主任或总务副主任、分管副校长或校长）、乙方（项目经理）、现场监理的签字和盖章，方可作为竣工结算的依据</w:t>
      </w:r>
      <w:r>
        <w:rPr>
          <w:rFonts w:hint="eastAsia" w:ascii="宋体" w:hAnsi="宋体" w:eastAsia="宋体" w:cs="宋体"/>
          <w:bCs/>
          <w:color w:val="auto"/>
          <w:sz w:val="21"/>
          <w:szCs w:val="21"/>
          <w:highlight w:val="none"/>
          <w:u w:val="single"/>
        </w:rPr>
        <w:t>，签证单上必须明确签证的原因、位置、尺寸、数量、材料、人工、机械台班、价格和签证的时间及标注时间、部位、尺寸的现场影像资料，如有必要，还需附有综合单价分析表。</w:t>
      </w:r>
    </w:p>
    <w:p w14:paraId="3E1BC0D8">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lang w:eastAsia="zh-CN"/>
        </w:rPr>
      </w:pPr>
      <w:r>
        <w:rPr>
          <w:rFonts w:hint="eastAsia" w:ascii="宋体" w:hAnsi="宋体" w:eastAsia="宋体" w:cs="宋体"/>
          <w:bCs/>
          <w:color w:val="auto"/>
          <w:sz w:val="21"/>
          <w:szCs w:val="21"/>
          <w:highlight w:val="none"/>
          <w:u w:val="single"/>
        </w:rPr>
        <w:t>7、因分部分项工程量清单漏项或非承包人原因的工程变更，引起施工方案改变并使措施项目发生变化时，承包人应事先将拟实施的方案提交给发包人及审计部门确认，如未提交则视为工程变更不引起措施项目的调整或承包人放弃调整措施项目的权利</w:t>
      </w:r>
      <w:r>
        <w:rPr>
          <w:rFonts w:hint="eastAsia" w:ascii="宋体" w:hAnsi="宋体" w:eastAsia="宋体" w:cs="宋体"/>
          <w:bCs/>
          <w:color w:val="auto"/>
          <w:sz w:val="21"/>
          <w:szCs w:val="21"/>
          <w:highlight w:val="none"/>
          <w:u w:val="single"/>
          <w:lang w:eastAsia="zh-CN"/>
        </w:rPr>
        <w:t>。</w:t>
      </w:r>
    </w:p>
    <w:p w14:paraId="6C3A5B3F">
      <w:pPr>
        <w:pageBreakBefore w:val="0"/>
        <w:widowControl w:val="0"/>
        <w:numPr>
          <w:ilvl w:val="0"/>
          <w:numId w:val="0"/>
        </w:numPr>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u w:val="single"/>
        </w:rPr>
        <w:t>8、凡暂估价（材料）项目建设方保留二次招标的权利。注：上述凡涉及中标优惠率同步下浮的下浮率={1-【</w:t>
      </w:r>
      <w:r>
        <w:rPr>
          <w:rFonts w:hint="eastAsia" w:ascii="宋体" w:hAnsi="宋体" w:eastAsia="宋体" w:cs="宋体"/>
          <w:bCs/>
          <w:color w:val="auto"/>
          <w:sz w:val="21"/>
          <w:szCs w:val="21"/>
          <w:highlight w:val="none"/>
          <w:u w:val="single"/>
          <w:lang w:eastAsia="zh-CN"/>
        </w:rPr>
        <w:t>投标</w:t>
      </w:r>
      <w:r>
        <w:rPr>
          <w:rFonts w:hint="eastAsia" w:ascii="宋体" w:hAnsi="宋体" w:eastAsia="宋体" w:cs="宋体"/>
          <w:bCs/>
          <w:color w:val="auto"/>
          <w:sz w:val="21"/>
          <w:szCs w:val="21"/>
          <w:highlight w:val="none"/>
          <w:u w:val="single"/>
        </w:rPr>
        <w:t>总价-不可竞争费*（1+规费费率）*（1+税率）】/【标底总价-不可竞争费*（1+规费费率）*（1+税率）】}*100</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bCs/>
          <w:color w:val="auto"/>
          <w:sz w:val="21"/>
          <w:szCs w:val="21"/>
          <w:highlight w:val="none"/>
          <w:u w:val="single"/>
        </w:rPr>
        <w:t>，（不可竞争费用为暂列金额、暂定价）</w:t>
      </w:r>
    </w:p>
    <w:p w14:paraId="3159F3B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2、总价合同。</w:t>
      </w:r>
    </w:p>
    <w:p w14:paraId="2F30891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总价包含的风险范围：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rPr>
        <w:t>。</w:t>
      </w:r>
    </w:p>
    <w:p w14:paraId="398002A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p>
    <w:p w14:paraId="4CA1BBE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C6389E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3、其他价格方式：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5EAC2C23">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bookmarkStart w:id="515" w:name="_Toc300935004"/>
      <w:bookmarkStart w:id="516" w:name="_Toc304295581"/>
      <w:bookmarkStart w:id="517" w:name="_Toc312678042"/>
      <w:bookmarkStart w:id="518" w:name="_Toc297216213"/>
      <w:bookmarkStart w:id="519" w:name="_Toc297123554"/>
      <w:bookmarkStart w:id="520" w:name="_Toc303539161"/>
      <w:bookmarkStart w:id="521" w:name="_Toc297048393"/>
      <w:bookmarkStart w:id="522" w:name="_Toc296346708"/>
      <w:bookmarkStart w:id="523" w:name="_Toc297120507"/>
      <w:bookmarkStart w:id="524" w:name="_Toc292559412"/>
      <w:bookmarkStart w:id="525" w:name="_Toc296347206"/>
      <w:bookmarkStart w:id="526" w:name="_Toc296503207"/>
      <w:bookmarkStart w:id="527" w:name="_Toc296944546"/>
      <w:bookmarkStart w:id="528" w:name="_Toc296891035"/>
      <w:bookmarkStart w:id="529" w:name="_Toc292559917"/>
      <w:bookmarkStart w:id="530" w:name="_Toc296891247"/>
      <w:r>
        <w:rPr>
          <w:rFonts w:hint="eastAsia" w:ascii="宋体" w:hAnsi="宋体" w:eastAsia="宋体" w:cs="宋体"/>
          <w:color w:val="auto"/>
          <w:sz w:val="21"/>
          <w:szCs w:val="21"/>
          <w:highlight w:val="none"/>
        </w:rPr>
        <w:t>12.2 预付款</w:t>
      </w:r>
    </w:p>
    <w:bookmarkEnd w:id="515"/>
    <w:bookmarkEnd w:id="516"/>
    <w:bookmarkEnd w:id="517"/>
    <w:bookmarkEnd w:id="518"/>
    <w:bookmarkEnd w:id="519"/>
    <w:bookmarkEnd w:id="520"/>
    <w:p w14:paraId="203428F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 预付款的支付</w:t>
      </w:r>
    </w:p>
    <w:p w14:paraId="3980B79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预付款支付比例或金额：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4B166F9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预付款支付期限：</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EA3FA6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预付款扣回的方式：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1C6514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12.2.2 预付款担保</w:t>
      </w:r>
    </w:p>
    <w:p w14:paraId="53AB1DC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承包人提交预付款担保的期限：</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13C8873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预付款担保的形式为：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bookmarkEnd w:id="521"/>
    <w:bookmarkEnd w:id="522"/>
    <w:bookmarkEnd w:id="523"/>
    <w:bookmarkEnd w:id="524"/>
    <w:bookmarkEnd w:id="525"/>
    <w:bookmarkEnd w:id="526"/>
    <w:bookmarkEnd w:id="527"/>
    <w:bookmarkEnd w:id="528"/>
    <w:bookmarkEnd w:id="529"/>
    <w:bookmarkEnd w:id="530"/>
    <w:p w14:paraId="50511356">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计量</w:t>
      </w:r>
    </w:p>
    <w:p w14:paraId="1CB6B20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12.3.1 计量原则</w:t>
      </w:r>
    </w:p>
    <w:p w14:paraId="6CDF951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工程量计算规则：</w:t>
      </w:r>
      <w:r>
        <w:rPr>
          <w:rFonts w:hint="eastAsia" w:ascii="宋体" w:hAnsi="宋体" w:eastAsia="宋体" w:cs="宋体"/>
          <w:bCs/>
          <w:color w:val="auto"/>
          <w:sz w:val="21"/>
          <w:szCs w:val="21"/>
          <w:highlight w:val="none"/>
          <w:u w:val="single"/>
        </w:rPr>
        <w:t>执行国家标准《建设工程工程量清单计价规范》(GB50500-2013)或其适用的修订版本，承包人实际完成的工程量按约定的工程量计算规则和有合同约束力的图纸进行计量</w:t>
      </w:r>
      <w:r>
        <w:rPr>
          <w:rFonts w:hint="eastAsia" w:ascii="宋体" w:hAnsi="宋体" w:eastAsia="宋体" w:cs="宋体"/>
          <w:color w:val="auto"/>
          <w:sz w:val="21"/>
          <w:szCs w:val="21"/>
          <w:highlight w:val="none"/>
          <w:u w:val="single"/>
        </w:rPr>
        <w:t>。</w:t>
      </w:r>
    </w:p>
    <w:p w14:paraId="182CD63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12.3.2 计量周期</w:t>
      </w:r>
    </w:p>
    <w:p w14:paraId="4976EE3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关于计量周期的约定：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CA4423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12.3.3 单价合同的计量</w:t>
      </w:r>
    </w:p>
    <w:p w14:paraId="28BA201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关于单价合同计量的约定：</w:t>
      </w:r>
      <w:r>
        <w:rPr>
          <w:rFonts w:hint="eastAsia" w:ascii="宋体" w:hAnsi="宋体" w:eastAsia="宋体" w:cs="宋体"/>
          <w:bCs/>
          <w:color w:val="auto"/>
          <w:sz w:val="21"/>
          <w:szCs w:val="21"/>
          <w:highlight w:val="none"/>
          <w:u w:val="single"/>
        </w:rPr>
        <w:t>按通用条款执行</w:t>
      </w:r>
      <w:r>
        <w:rPr>
          <w:rFonts w:hint="eastAsia" w:ascii="宋体" w:hAnsi="宋体" w:eastAsia="宋体" w:cs="宋体"/>
          <w:color w:val="auto"/>
          <w:sz w:val="21"/>
          <w:szCs w:val="21"/>
          <w:highlight w:val="none"/>
        </w:rPr>
        <w:t>。</w:t>
      </w:r>
    </w:p>
    <w:p w14:paraId="1E85A6F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12.3.4 总价合同的计量</w:t>
      </w:r>
    </w:p>
    <w:p w14:paraId="0CB31A1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关于总价合同计量的约定：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129A90D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12.3.5 总价合同采用支付分解表计量支付的，是否适用第</w:t>
      </w:r>
      <w:r>
        <w:rPr>
          <w:rFonts w:hint="eastAsia" w:ascii="宋体" w:hAnsi="宋体" w:eastAsia="宋体" w:cs="宋体"/>
          <w:color w:val="auto"/>
          <w:kern w:val="0"/>
          <w:sz w:val="21"/>
          <w:szCs w:val="21"/>
          <w:highlight w:val="none"/>
        </w:rPr>
        <w:t xml:space="preserve">12.3.4 </w:t>
      </w:r>
      <w:r>
        <w:rPr>
          <w:rFonts w:hint="eastAsia" w:ascii="宋体" w:hAnsi="宋体" w:eastAsia="宋体" w:cs="宋体"/>
          <w:color w:val="auto"/>
          <w:sz w:val="21"/>
          <w:szCs w:val="21"/>
          <w:highlight w:val="none"/>
        </w:rPr>
        <w:t>项</w:t>
      </w:r>
      <w:r>
        <w:rPr>
          <w:rFonts w:hint="eastAsia" w:ascii="宋体" w:hAnsi="宋体" w:eastAsia="宋体" w:cs="宋体"/>
          <w:color w:val="auto"/>
          <w:kern w:val="0"/>
          <w:sz w:val="21"/>
          <w:szCs w:val="21"/>
          <w:highlight w:val="none"/>
        </w:rPr>
        <w:t>〔总价合同的计量〕</w:t>
      </w:r>
      <w:r>
        <w:rPr>
          <w:rFonts w:hint="eastAsia" w:ascii="宋体" w:hAnsi="宋体" w:eastAsia="宋体" w:cs="宋体"/>
          <w:color w:val="auto"/>
          <w:sz w:val="21"/>
          <w:szCs w:val="21"/>
          <w:highlight w:val="none"/>
        </w:rPr>
        <w:t>约定进行计量：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53EA53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12.3.6 其他价格形式合同的计量</w:t>
      </w:r>
    </w:p>
    <w:p w14:paraId="370927D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其他价格形式的计量方式和程序：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1F93461D">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 工程进度款支付</w:t>
      </w:r>
    </w:p>
    <w:p w14:paraId="1F2CEBD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
          <w:bCs/>
          <w:color w:val="auto"/>
          <w:sz w:val="21"/>
          <w:szCs w:val="21"/>
          <w:highlight w:val="none"/>
        </w:rPr>
      </w:pPr>
      <w:bookmarkStart w:id="531" w:name="_Toc296346712"/>
      <w:bookmarkStart w:id="532" w:name="_Toc296503211"/>
      <w:bookmarkStart w:id="533" w:name="_Toc297120511"/>
      <w:bookmarkStart w:id="534" w:name="_Toc303539163"/>
      <w:bookmarkStart w:id="535" w:name="_Toc297048397"/>
      <w:bookmarkStart w:id="536" w:name="_Toc297216215"/>
      <w:bookmarkStart w:id="537" w:name="_Toc292559416"/>
      <w:bookmarkStart w:id="538" w:name="_Toc292559921"/>
      <w:bookmarkStart w:id="539" w:name="_Toc297123556"/>
      <w:bookmarkStart w:id="540" w:name="_Toc296891039"/>
      <w:bookmarkStart w:id="541" w:name="_Toc296944550"/>
      <w:bookmarkStart w:id="542" w:name="_Toc296347210"/>
      <w:bookmarkStart w:id="543" w:name="_Toc296891251"/>
      <w:bookmarkStart w:id="544" w:name="_Toc300935006"/>
      <w:r>
        <w:rPr>
          <w:rFonts w:hint="eastAsia" w:ascii="宋体" w:hAnsi="宋体" w:eastAsia="宋体" w:cs="宋体"/>
          <w:color w:val="auto"/>
          <w:sz w:val="21"/>
          <w:szCs w:val="21"/>
          <w:highlight w:val="none"/>
        </w:rPr>
        <w:t>12.4.1</w:t>
      </w:r>
      <w:r>
        <w:rPr>
          <w:rFonts w:hint="eastAsia" w:ascii="宋体" w:hAnsi="宋体" w:eastAsia="宋体" w:cs="宋体"/>
          <w:b/>
          <w:bCs/>
          <w:color w:val="auto"/>
          <w:sz w:val="21"/>
          <w:szCs w:val="21"/>
          <w:highlight w:val="none"/>
        </w:rPr>
        <w:t xml:space="preserve"> 付款周期</w:t>
      </w:r>
    </w:p>
    <w:bookmarkEnd w:id="37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14:paraId="52AE3161">
      <w:pPr>
        <w:keepNext w:val="0"/>
        <w:keepLines w:val="0"/>
        <w:pageBreakBefore w:val="0"/>
        <w:kinsoku/>
        <w:wordWrap/>
        <w:overflowPunct/>
        <w:topLinePunct w:val="0"/>
        <w:autoSpaceDE/>
        <w:autoSpaceDN/>
        <w:bidi w:val="0"/>
        <w:spacing w:line="400" w:lineRule="exact"/>
        <w:ind w:firstLine="420" w:firstLineChars="200"/>
        <w:rPr>
          <w:rFonts w:hint="eastAsia" w:ascii="宋体" w:hAnsi="宋体" w:eastAsia="宋体" w:cs="宋体"/>
          <w:b w:val="0"/>
          <w:bCs/>
          <w:color w:val="0000FF"/>
          <w:kern w:val="0"/>
          <w:sz w:val="21"/>
          <w:szCs w:val="21"/>
          <w:highlight w:val="none"/>
        </w:rPr>
      </w:pPr>
      <w:bookmarkStart w:id="545" w:name="_Toc8250"/>
      <w:bookmarkStart w:id="546" w:name="_Toc51164682"/>
      <w:bookmarkStart w:id="547" w:name="_Toc351203645"/>
      <w:bookmarkStart w:id="548" w:name="_Toc292559929"/>
      <w:bookmarkStart w:id="549" w:name="_Toc312678053"/>
      <w:bookmarkStart w:id="550" w:name="_Toc303539172"/>
      <w:bookmarkStart w:id="551" w:name="_Toc297048405"/>
      <w:bookmarkStart w:id="552" w:name="_Toc296891259"/>
      <w:bookmarkStart w:id="553" w:name="_Toc297123564"/>
      <w:bookmarkStart w:id="554" w:name="_Toc297216223"/>
      <w:bookmarkStart w:id="555" w:name="_Toc296891047"/>
      <w:bookmarkStart w:id="556" w:name="_Toc292559424"/>
      <w:bookmarkStart w:id="557" w:name="_Toc300935015"/>
      <w:bookmarkStart w:id="558" w:name="_Toc296944558"/>
      <w:bookmarkStart w:id="559" w:name="_Toc304295593"/>
      <w:bookmarkStart w:id="560" w:name="_Toc297120519"/>
      <w:bookmarkStart w:id="561" w:name="_Toc296503219"/>
      <w:bookmarkStart w:id="562" w:name="_Toc296346720"/>
      <w:bookmarkStart w:id="563" w:name="_Toc296347218"/>
      <w:r>
        <w:rPr>
          <w:rFonts w:hint="eastAsia" w:ascii="宋体" w:hAnsi="宋体" w:eastAsia="宋体" w:cs="宋体"/>
          <w:b w:val="0"/>
          <w:bCs/>
          <w:color w:val="0000FF"/>
          <w:kern w:val="0"/>
          <w:sz w:val="21"/>
          <w:szCs w:val="21"/>
          <w:highlight w:val="none"/>
        </w:rPr>
        <w:t>1）在合同工期内工程竣工验收合格后，202</w:t>
      </w:r>
      <w:r>
        <w:rPr>
          <w:rFonts w:hint="eastAsia" w:ascii="宋体" w:hAnsi="宋体" w:eastAsia="宋体" w:cs="宋体"/>
          <w:b w:val="0"/>
          <w:bCs/>
          <w:color w:val="0000FF"/>
          <w:kern w:val="0"/>
          <w:sz w:val="21"/>
          <w:szCs w:val="21"/>
          <w:highlight w:val="none"/>
          <w:lang w:val="en-US" w:eastAsia="zh-CN"/>
        </w:rPr>
        <w:t>6</w:t>
      </w:r>
      <w:r>
        <w:rPr>
          <w:rFonts w:hint="eastAsia" w:ascii="宋体" w:hAnsi="宋体" w:eastAsia="宋体" w:cs="宋体"/>
          <w:b w:val="0"/>
          <w:bCs/>
          <w:color w:val="0000FF"/>
          <w:kern w:val="0"/>
          <w:sz w:val="21"/>
          <w:szCs w:val="21"/>
          <w:highlight w:val="none"/>
        </w:rPr>
        <w:t>年1月前付至合同价款的60%（扣除暂列金及未施工工程量）；</w:t>
      </w:r>
    </w:p>
    <w:p w14:paraId="52310845">
      <w:pPr>
        <w:keepNext w:val="0"/>
        <w:keepLines w:val="0"/>
        <w:pageBreakBefore w:val="0"/>
        <w:kinsoku/>
        <w:wordWrap/>
        <w:overflowPunct/>
        <w:topLinePunct w:val="0"/>
        <w:autoSpaceDE/>
        <w:autoSpaceDN/>
        <w:bidi w:val="0"/>
        <w:spacing w:line="400" w:lineRule="exact"/>
        <w:ind w:firstLine="420" w:firstLineChars="200"/>
        <w:rPr>
          <w:rFonts w:hint="eastAsia" w:ascii="宋体" w:hAnsi="宋体" w:eastAsia="宋体" w:cs="宋体"/>
          <w:b w:val="0"/>
          <w:bCs/>
          <w:color w:val="0000FF"/>
          <w:kern w:val="0"/>
          <w:sz w:val="21"/>
          <w:szCs w:val="21"/>
          <w:highlight w:val="none"/>
          <w:lang w:eastAsia="zh-CN"/>
        </w:rPr>
      </w:pPr>
      <w:r>
        <w:rPr>
          <w:rFonts w:hint="eastAsia" w:ascii="宋体" w:hAnsi="宋体" w:eastAsia="宋体" w:cs="宋体"/>
          <w:b w:val="0"/>
          <w:bCs/>
          <w:color w:val="0000FF"/>
          <w:kern w:val="0"/>
          <w:sz w:val="21"/>
          <w:szCs w:val="21"/>
          <w:highlight w:val="none"/>
        </w:rPr>
        <w:t>2）202</w:t>
      </w:r>
      <w:r>
        <w:rPr>
          <w:rFonts w:hint="eastAsia" w:ascii="宋体" w:hAnsi="宋体" w:eastAsia="宋体" w:cs="宋体"/>
          <w:b w:val="0"/>
          <w:bCs/>
          <w:color w:val="0000FF"/>
          <w:kern w:val="0"/>
          <w:sz w:val="21"/>
          <w:szCs w:val="21"/>
          <w:highlight w:val="none"/>
          <w:lang w:val="en-US" w:eastAsia="zh-CN"/>
        </w:rPr>
        <w:t>7</w:t>
      </w:r>
      <w:r>
        <w:rPr>
          <w:rFonts w:hint="eastAsia" w:ascii="宋体" w:hAnsi="宋体" w:eastAsia="宋体" w:cs="宋体"/>
          <w:b w:val="0"/>
          <w:bCs/>
          <w:color w:val="0000FF"/>
          <w:kern w:val="0"/>
          <w:sz w:val="21"/>
          <w:szCs w:val="21"/>
          <w:highlight w:val="none"/>
        </w:rPr>
        <w:t>年1月前</w:t>
      </w:r>
      <w:r>
        <w:rPr>
          <w:rFonts w:hint="eastAsia" w:ascii="宋体" w:hAnsi="宋体" w:eastAsia="宋体" w:cs="宋体"/>
          <w:b w:val="0"/>
          <w:bCs/>
          <w:color w:val="0000FF"/>
          <w:kern w:val="0"/>
          <w:sz w:val="21"/>
          <w:szCs w:val="21"/>
          <w:highlight w:val="none"/>
          <w:lang w:val="en-US" w:eastAsia="zh-CN"/>
        </w:rPr>
        <w:t>按照审定价</w:t>
      </w:r>
      <w:r>
        <w:rPr>
          <w:rFonts w:hint="eastAsia" w:ascii="宋体" w:hAnsi="宋体" w:eastAsia="宋体" w:cs="宋体"/>
          <w:b w:val="0"/>
          <w:bCs/>
          <w:color w:val="0000FF"/>
          <w:kern w:val="0"/>
          <w:sz w:val="21"/>
          <w:szCs w:val="21"/>
          <w:highlight w:val="none"/>
        </w:rPr>
        <w:t>付清余款（保修金除外）</w:t>
      </w:r>
      <w:r>
        <w:rPr>
          <w:rFonts w:hint="eastAsia" w:ascii="宋体" w:hAnsi="宋体" w:eastAsia="宋体" w:cs="宋体"/>
          <w:b w:val="0"/>
          <w:bCs/>
          <w:color w:val="0000FF"/>
          <w:kern w:val="0"/>
          <w:sz w:val="21"/>
          <w:szCs w:val="21"/>
          <w:highlight w:val="none"/>
          <w:lang w:eastAsia="zh-CN"/>
        </w:rPr>
        <w:t>；</w:t>
      </w:r>
    </w:p>
    <w:p w14:paraId="6EAC67BE">
      <w:pPr>
        <w:keepNext w:val="0"/>
        <w:keepLines w:val="0"/>
        <w:pageBreakBefore w:val="0"/>
        <w:kinsoku/>
        <w:wordWrap/>
        <w:overflowPunct/>
        <w:topLinePunct w:val="0"/>
        <w:autoSpaceDE/>
        <w:autoSpaceDN/>
        <w:bidi w:val="0"/>
        <w:spacing w:line="400" w:lineRule="exact"/>
        <w:ind w:firstLine="420" w:firstLineChars="200"/>
        <w:rPr>
          <w:rFonts w:hint="eastAsia" w:ascii="宋体" w:hAnsi="宋体" w:eastAsia="宋体" w:cs="宋体"/>
          <w:b w:val="0"/>
          <w:bCs/>
          <w:color w:val="0000FF"/>
          <w:kern w:val="0"/>
          <w:sz w:val="21"/>
          <w:szCs w:val="21"/>
          <w:highlight w:val="none"/>
        </w:rPr>
      </w:pPr>
      <w:r>
        <w:rPr>
          <w:rFonts w:hint="eastAsia" w:ascii="宋体" w:hAnsi="宋体" w:eastAsia="宋体" w:cs="宋体"/>
          <w:b w:val="0"/>
          <w:bCs/>
          <w:color w:val="0000FF"/>
          <w:kern w:val="0"/>
          <w:sz w:val="21"/>
          <w:szCs w:val="21"/>
          <w:highlight w:val="none"/>
          <w:lang w:val="en-US" w:eastAsia="zh-CN"/>
        </w:rPr>
        <w:t>3</w:t>
      </w:r>
      <w:r>
        <w:rPr>
          <w:rFonts w:hint="eastAsia" w:ascii="宋体" w:hAnsi="宋体" w:eastAsia="宋体" w:cs="宋体"/>
          <w:b w:val="0"/>
          <w:bCs/>
          <w:color w:val="0000FF"/>
          <w:kern w:val="0"/>
          <w:sz w:val="21"/>
          <w:szCs w:val="21"/>
          <w:highlight w:val="none"/>
        </w:rPr>
        <w:t>）上述款项均须在工程竣工验收合格</w:t>
      </w:r>
      <w:r>
        <w:rPr>
          <w:rFonts w:hint="eastAsia" w:ascii="宋体" w:hAnsi="宋体" w:eastAsia="宋体" w:cs="宋体"/>
          <w:b w:val="0"/>
          <w:bCs/>
          <w:color w:val="0000FF"/>
          <w:kern w:val="0"/>
          <w:sz w:val="21"/>
          <w:szCs w:val="21"/>
          <w:highlight w:val="none"/>
          <w:lang w:val="en-US" w:eastAsia="zh-CN"/>
        </w:rPr>
        <w:t>且相关资料提交</w:t>
      </w:r>
      <w:r>
        <w:rPr>
          <w:rFonts w:hint="eastAsia" w:ascii="宋体" w:hAnsi="宋体" w:eastAsia="宋体" w:cs="宋体"/>
          <w:b w:val="0"/>
          <w:bCs/>
          <w:color w:val="0000FF"/>
          <w:kern w:val="0"/>
          <w:sz w:val="21"/>
          <w:szCs w:val="21"/>
          <w:highlight w:val="none"/>
        </w:rPr>
        <w:t>后方可支付。</w:t>
      </w:r>
    </w:p>
    <w:p w14:paraId="1549A7E7">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val="0"/>
          <w:bCs/>
          <w:color w:val="0000FF"/>
          <w:kern w:val="0"/>
          <w:sz w:val="21"/>
          <w:szCs w:val="21"/>
          <w:highlight w:val="none"/>
        </w:rPr>
      </w:pPr>
      <w:r>
        <w:rPr>
          <w:rFonts w:hint="eastAsia" w:ascii="宋体" w:hAnsi="宋体" w:eastAsia="宋体" w:cs="宋体"/>
          <w:b w:val="0"/>
          <w:bCs/>
          <w:color w:val="0000FF"/>
          <w:kern w:val="0"/>
          <w:sz w:val="21"/>
          <w:szCs w:val="21"/>
          <w:highlight w:val="none"/>
        </w:rPr>
        <w:t>注：中标人必须将竣工资料及其他相关施工资料提交完成后方可进行竣工验收，工程竣工验收合格方可进行工程结算审计。</w:t>
      </w:r>
    </w:p>
    <w:p w14:paraId="637917BA">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13. 验收和工程试车</w:t>
      </w:r>
      <w:bookmarkEnd w:id="545"/>
      <w:bookmarkEnd w:id="546"/>
      <w:bookmarkEnd w:id="547"/>
    </w:p>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14:paraId="0D833DCF">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 分部分项工程验收</w:t>
      </w:r>
    </w:p>
    <w:p w14:paraId="28AD1C5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13.1.2 监理人不能按时进行验收时，应提前</w:t>
      </w:r>
      <w:r>
        <w:rPr>
          <w:rFonts w:hint="eastAsia" w:ascii="宋体" w:hAnsi="宋体" w:eastAsia="宋体" w:cs="宋体"/>
          <w:bCs/>
          <w:color w:val="auto"/>
          <w:sz w:val="21"/>
          <w:szCs w:val="21"/>
          <w:highlight w:val="none"/>
        </w:rPr>
        <w:t>24</w:t>
      </w:r>
      <w:r>
        <w:rPr>
          <w:rFonts w:hint="eastAsia" w:ascii="宋体" w:hAnsi="宋体" w:eastAsia="宋体" w:cs="宋体"/>
          <w:color w:val="auto"/>
          <w:sz w:val="21"/>
          <w:szCs w:val="21"/>
          <w:highlight w:val="none"/>
        </w:rPr>
        <w:t>小时提交书面延期要求。</w:t>
      </w:r>
    </w:p>
    <w:p w14:paraId="614E02C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关于延期最长不得超过：</w:t>
      </w:r>
      <w:r>
        <w:rPr>
          <w:rFonts w:hint="eastAsia" w:ascii="宋体" w:hAnsi="宋体" w:eastAsia="宋体" w:cs="宋体"/>
          <w:bCs/>
          <w:color w:val="auto"/>
          <w:sz w:val="21"/>
          <w:szCs w:val="21"/>
          <w:highlight w:val="none"/>
          <w:u w:val="single"/>
        </w:rPr>
        <w:t>48</w:t>
      </w:r>
      <w:r>
        <w:rPr>
          <w:rFonts w:hint="eastAsia" w:ascii="宋体" w:hAnsi="宋体" w:eastAsia="宋体" w:cs="宋体"/>
          <w:color w:val="auto"/>
          <w:sz w:val="21"/>
          <w:szCs w:val="21"/>
          <w:highlight w:val="none"/>
          <w:u w:val="single"/>
        </w:rPr>
        <w:t>小时。</w:t>
      </w:r>
    </w:p>
    <w:p w14:paraId="5AF34622">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bookmarkStart w:id="564" w:name="_Toc296891263"/>
      <w:bookmarkStart w:id="565" w:name="_Toc296346724"/>
      <w:bookmarkStart w:id="566" w:name="_Toc297120523"/>
      <w:bookmarkStart w:id="567" w:name="_Toc296944562"/>
      <w:bookmarkStart w:id="568" w:name="_Toc300935016"/>
      <w:bookmarkStart w:id="569" w:name="_Toc296891051"/>
      <w:bookmarkStart w:id="570" w:name="_Toc297048409"/>
      <w:bookmarkStart w:id="571" w:name="_Toc312678056"/>
      <w:bookmarkStart w:id="572" w:name="_Toc292559933"/>
      <w:bookmarkStart w:id="573" w:name="_Toc292559428"/>
      <w:bookmarkStart w:id="574" w:name="_Toc297123565"/>
      <w:bookmarkStart w:id="575" w:name="_Toc296347222"/>
      <w:bookmarkStart w:id="576" w:name="_Toc303539173"/>
      <w:bookmarkStart w:id="577" w:name="_Toc297216224"/>
      <w:bookmarkStart w:id="578" w:name="_Toc304295596"/>
      <w:bookmarkStart w:id="579" w:name="_Toc296503223"/>
      <w:bookmarkStart w:id="580" w:name="_Toc267251473"/>
      <w:bookmarkStart w:id="581" w:name="_Toc267251474"/>
      <w:bookmarkStart w:id="582" w:name="_Toc267251476"/>
      <w:bookmarkStart w:id="583" w:name="_Toc267251470"/>
      <w:bookmarkStart w:id="584" w:name="_Toc267251471"/>
      <w:bookmarkStart w:id="585" w:name="_Toc267251472"/>
      <w:bookmarkStart w:id="586" w:name="_Toc267251475"/>
      <w:r>
        <w:rPr>
          <w:rFonts w:hint="eastAsia" w:ascii="宋体" w:hAnsi="宋体" w:eastAsia="宋体" w:cs="宋体"/>
          <w:color w:val="auto"/>
          <w:sz w:val="21"/>
          <w:szCs w:val="21"/>
          <w:highlight w:val="none"/>
        </w:rPr>
        <w:t>13.2 竣工验收</w:t>
      </w:r>
    </w:p>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14:paraId="6241790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bookmarkStart w:id="587" w:name="_Toc280868705"/>
      <w:bookmarkStart w:id="588" w:name="_Toc280868706"/>
      <w:bookmarkStart w:id="589" w:name="_Toc280868707"/>
      <w:bookmarkStart w:id="590" w:name="_Toc280868704"/>
      <w:bookmarkStart w:id="591" w:name="_Toc280868708"/>
      <w:bookmarkStart w:id="592" w:name="_Toc280868709"/>
      <w:r>
        <w:rPr>
          <w:rFonts w:hint="eastAsia" w:ascii="宋体" w:hAnsi="宋体" w:eastAsia="宋体" w:cs="宋体"/>
          <w:color w:val="auto"/>
          <w:sz w:val="21"/>
          <w:szCs w:val="21"/>
          <w:highlight w:val="none"/>
        </w:rPr>
        <w:t>13.2.2 竣工验收程序</w:t>
      </w:r>
    </w:p>
    <w:bookmarkEnd w:id="587"/>
    <w:bookmarkEnd w:id="588"/>
    <w:bookmarkEnd w:id="589"/>
    <w:bookmarkEnd w:id="590"/>
    <w:p w14:paraId="650F39D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关于竣工验收程序的约定：</w:t>
      </w:r>
      <w:r>
        <w:rPr>
          <w:rFonts w:hint="eastAsia" w:ascii="宋体" w:hAnsi="宋体" w:eastAsia="宋体" w:cs="宋体"/>
          <w:bCs/>
          <w:color w:val="auto"/>
          <w:sz w:val="21"/>
          <w:szCs w:val="21"/>
          <w:highlight w:val="none"/>
          <w:u w:val="single"/>
        </w:rPr>
        <w:t>根据政府相关部门颁发的竣工验收相关规定及技术档案管理条例编制整理的竣工资料和竣工图，在竣工质量验收（俗称竣前验收）之前经监理及发包人、总承包单位及业主认可后移交给发包人，若承包人未能及时移交，竣工质量验收延后，直至承包人完整移交竣工图及竣工资料为止，由此造成的工期延误或其他一切损失由承包人承担。本工程验收由发包人组织，承包人、监理单位、设计单位、薛埠镇相关部门共同参与验收。</w:t>
      </w:r>
    </w:p>
    <w:p w14:paraId="7D0DCF0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发包人不按照本项约定组织竣工验收、颁发工程接收证书的违约金的计算方法：</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804AB0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13.2.5 移交、接收全部与部分工程</w:t>
      </w:r>
    </w:p>
    <w:p w14:paraId="7463B92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承包人向发包人移交工程的期限：</w:t>
      </w:r>
      <w:r>
        <w:rPr>
          <w:rFonts w:hint="eastAsia" w:ascii="宋体" w:hAnsi="宋体" w:eastAsia="宋体" w:cs="宋体"/>
          <w:bCs/>
          <w:color w:val="auto"/>
          <w:sz w:val="21"/>
          <w:szCs w:val="21"/>
          <w:highlight w:val="none"/>
          <w:u w:val="single"/>
        </w:rPr>
        <w:t>根据发包人要求执行</w:t>
      </w:r>
      <w:r>
        <w:rPr>
          <w:rFonts w:hint="eastAsia" w:ascii="宋体" w:hAnsi="宋体" w:eastAsia="宋体" w:cs="宋体"/>
          <w:color w:val="auto"/>
          <w:sz w:val="21"/>
          <w:szCs w:val="21"/>
          <w:highlight w:val="none"/>
          <w:u w:val="single"/>
        </w:rPr>
        <w:t>。</w:t>
      </w:r>
    </w:p>
    <w:p w14:paraId="7617374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发包人未按本合同约定接收全部或部分工程的，违约金的计算方法为：</w:t>
      </w:r>
      <w:r>
        <w:rPr>
          <w:rFonts w:hint="eastAsia" w:ascii="宋体" w:hAnsi="宋体" w:eastAsia="宋体" w:cs="宋体"/>
          <w:bCs/>
          <w:color w:val="auto"/>
          <w:sz w:val="21"/>
          <w:szCs w:val="21"/>
          <w:highlight w:val="none"/>
          <w:u w:val="single"/>
        </w:rPr>
        <w:t>根据发包人要求执行</w:t>
      </w:r>
      <w:r>
        <w:rPr>
          <w:rFonts w:hint="eastAsia" w:ascii="宋体" w:hAnsi="宋体" w:eastAsia="宋体" w:cs="宋体"/>
          <w:color w:val="auto"/>
          <w:sz w:val="21"/>
          <w:szCs w:val="21"/>
          <w:highlight w:val="none"/>
          <w:u w:val="single"/>
        </w:rPr>
        <w:t>。</w:t>
      </w:r>
    </w:p>
    <w:p w14:paraId="3C3D404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承包人未按时移交工程的，违约金的计算方法为：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9CAD50B">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 工程试车</w:t>
      </w:r>
    </w:p>
    <w:bookmarkEnd w:id="591"/>
    <w:p w14:paraId="0ADDA74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13.3.1 试车程序</w:t>
      </w:r>
    </w:p>
    <w:p w14:paraId="7D19E66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工程试车内容：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492E260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（1）单机无负荷试车费用由</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承担；</w:t>
      </w:r>
    </w:p>
    <w:p w14:paraId="7305F27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（2）无负荷联动试车费用由</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承担。</w:t>
      </w:r>
    </w:p>
    <w:p w14:paraId="6ED8F2E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13.3.3 投料试车</w:t>
      </w:r>
    </w:p>
    <w:p w14:paraId="58D7A969">
      <w:pPr>
        <w:pageBreakBefore w:val="0"/>
        <w:widowControl w:val="0"/>
        <w:kinsoku/>
        <w:wordWrap/>
        <w:overflowPunct/>
        <w:topLinePunct w:val="0"/>
        <w:bidi w:val="0"/>
        <w:snapToGrid/>
        <w:spacing w:line="400" w:lineRule="exact"/>
        <w:ind w:firstLine="630" w:firstLineChars="3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关于投料试车相关事项的约定：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422F71D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 竣工退场</w:t>
      </w:r>
    </w:p>
    <w:p w14:paraId="06C9B12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13.6.1 竣工退场</w:t>
      </w:r>
    </w:p>
    <w:p w14:paraId="3E81A4F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承包人完成竣工退场的期限：</w:t>
      </w:r>
      <w:r>
        <w:rPr>
          <w:rFonts w:hint="eastAsia" w:ascii="宋体" w:hAnsi="宋体" w:eastAsia="宋体" w:cs="宋体"/>
          <w:bCs/>
          <w:color w:val="auto"/>
          <w:sz w:val="21"/>
          <w:szCs w:val="21"/>
          <w:highlight w:val="none"/>
          <w:u w:val="single"/>
        </w:rPr>
        <w:t>按发包人要求期限执行</w:t>
      </w:r>
      <w:r>
        <w:rPr>
          <w:rFonts w:hint="eastAsia" w:ascii="宋体" w:hAnsi="宋体" w:eastAsia="宋体" w:cs="宋体"/>
          <w:color w:val="auto"/>
          <w:kern w:val="0"/>
          <w:sz w:val="21"/>
          <w:szCs w:val="21"/>
          <w:highlight w:val="none"/>
          <w:u w:val="single"/>
        </w:rPr>
        <w:t>。</w:t>
      </w:r>
    </w:p>
    <w:p w14:paraId="522C34A5">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593" w:name="_Toc51164683"/>
      <w:bookmarkStart w:id="594" w:name="_Toc9592"/>
      <w:bookmarkStart w:id="595" w:name="_Toc351203646"/>
      <w:r>
        <w:rPr>
          <w:rFonts w:hint="eastAsia" w:ascii="宋体" w:hAnsi="宋体" w:eastAsia="宋体" w:cs="宋体"/>
          <w:b/>
          <w:color w:val="auto"/>
          <w:kern w:val="0"/>
          <w:sz w:val="21"/>
          <w:szCs w:val="21"/>
          <w:highlight w:val="none"/>
          <w:lang w:val="en-US" w:eastAsia="zh-CN" w:bidi="ar-SA"/>
        </w:rPr>
        <w:t>14. 竣工结算</w:t>
      </w:r>
      <w:bookmarkEnd w:id="593"/>
      <w:bookmarkEnd w:id="594"/>
      <w:bookmarkEnd w:id="595"/>
    </w:p>
    <w:p w14:paraId="327FD0DF">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竣工结算申请</w:t>
      </w:r>
    </w:p>
    <w:p w14:paraId="4E223E9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承包人提交竣工结算申请单的期限：</w:t>
      </w:r>
      <w:r>
        <w:rPr>
          <w:rFonts w:hint="eastAsia" w:ascii="宋体" w:hAnsi="宋体" w:eastAsia="宋体" w:cs="宋体"/>
          <w:bCs/>
          <w:color w:val="auto"/>
          <w:sz w:val="21"/>
          <w:szCs w:val="21"/>
          <w:highlight w:val="none"/>
          <w:u w:val="single"/>
        </w:rPr>
        <w:t>工程竣工移交后两个月内。</w:t>
      </w:r>
    </w:p>
    <w:p w14:paraId="2E25FC91">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竣工结算申请单应包括的内容：</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074B15B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竣工结算审核</w:t>
      </w:r>
    </w:p>
    <w:p w14:paraId="0C0422D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发包人审批竣工付款申请单的期限</w:t>
      </w:r>
      <w:r>
        <w:rPr>
          <w:rFonts w:hint="eastAsia" w:ascii="宋体" w:hAnsi="宋体" w:eastAsia="宋体" w:cs="宋体"/>
          <w:color w:val="auto"/>
          <w:sz w:val="21"/>
          <w:szCs w:val="21"/>
          <w:highlight w:val="none"/>
          <w:u w:val="single"/>
        </w:rPr>
        <w:t>：</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rPr>
        <w:t>。</w:t>
      </w:r>
    </w:p>
    <w:p w14:paraId="0640191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发包人完成竣工付款的期限：</w:t>
      </w:r>
      <w:r>
        <w:rPr>
          <w:rFonts w:hint="eastAsia" w:ascii="宋体" w:hAnsi="宋体" w:eastAsia="宋体" w:cs="宋体"/>
          <w:bCs/>
          <w:color w:val="auto"/>
          <w:sz w:val="21"/>
          <w:szCs w:val="21"/>
          <w:highlight w:val="none"/>
          <w:u w:val="single"/>
        </w:rPr>
        <w:t>按照合同规定条款执行</w:t>
      </w:r>
      <w:r>
        <w:rPr>
          <w:rFonts w:hint="eastAsia" w:ascii="宋体" w:hAnsi="宋体" w:eastAsia="宋体" w:cs="宋体"/>
          <w:color w:val="auto"/>
          <w:sz w:val="21"/>
          <w:szCs w:val="21"/>
          <w:highlight w:val="none"/>
          <w:u w:val="single"/>
        </w:rPr>
        <w:t>。</w:t>
      </w:r>
    </w:p>
    <w:p w14:paraId="571EA17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关于竣工付款证书异议部分复核的方式和程序：</w:t>
      </w:r>
      <w:r>
        <w:rPr>
          <w:rFonts w:hint="eastAsia" w:ascii="宋体" w:hAnsi="宋体" w:eastAsia="宋体" w:cs="宋体"/>
          <w:bCs/>
          <w:color w:val="auto"/>
          <w:sz w:val="21"/>
          <w:szCs w:val="21"/>
          <w:highlight w:val="none"/>
          <w:u w:val="single"/>
        </w:rPr>
        <w:t>双方另行协商。</w:t>
      </w:r>
    </w:p>
    <w:p w14:paraId="12AD25BB">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 最终结清</w:t>
      </w:r>
    </w:p>
    <w:p w14:paraId="7B4033A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14.4.1 最终结清申请单</w:t>
      </w:r>
    </w:p>
    <w:bookmarkEnd w:id="580"/>
    <w:bookmarkEnd w:id="581"/>
    <w:bookmarkEnd w:id="582"/>
    <w:bookmarkEnd w:id="583"/>
    <w:bookmarkEnd w:id="584"/>
    <w:bookmarkEnd w:id="585"/>
    <w:bookmarkEnd w:id="586"/>
    <w:bookmarkEnd w:id="592"/>
    <w:p w14:paraId="47815C9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bookmarkStart w:id="596" w:name="_Toc351203647"/>
      <w:bookmarkStart w:id="597" w:name="_Toc267251483"/>
      <w:bookmarkStart w:id="598" w:name="_Toc267251484"/>
      <w:bookmarkStart w:id="599" w:name="_Toc267251482"/>
      <w:bookmarkStart w:id="600" w:name="_Toc267251485"/>
      <w:bookmarkStart w:id="601" w:name="_Toc267251488"/>
      <w:bookmarkStart w:id="602" w:name="_Toc267251489"/>
      <w:bookmarkStart w:id="603" w:name="_Toc267251490"/>
      <w:bookmarkStart w:id="604" w:name="_Toc267251486"/>
      <w:bookmarkStart w:id="605" w:name="_Toc267251496"/>
      <w:bookmarkStart w:id="606" w:name="_Toc267251491"/>
      <w:bookmarkStart w:id="607" w:name="_Toc267251497"/>
      <w:bookmarkStart w:id="608" w:name="_Toc267251495"/>
      <w:bookmarkStart w:id="609" w:name="_Toc267251498"/>
      <w:bookmarkStart w:id="610" w:name="_Toc267251501"/>
      <w:bookmarkStart w:id="611" w:name="_Toc267251494"/>
      <w:bookmarkStart w:id="612" w:name="_Toc267251502"/>
      <w:bookmarkStart w:id="613" w:name="_Toc267251503"/>
      <w:bookmarkStart w:id="614" w:name="_Toc267251492"/>
      <w:bookmarkStart w:id="615" w:name="_Toc267251493"/>
      <w:bookmarkStart w:id="616" w:name="_Toc267251499"/>
      <w:bookmarkStart w:id="617" w:name="_Toc267251504"/>
      <w:bookmarkStart w:id="618" w:name="_Toc267251506"/>
      <w:bookmarkStart w:id="619" w:name="_Toc267251507"/>
      <w:bookmarkStart w:id="620" w:name="_Toc267251508"/>
      <w:bookmarkStart w:id="621" w:name="_Toc267251511"/>
      <w:bookmarkStart w:id="622" w:name="_Toc267251513"/>
      <w:bookmarkStart w:id="623" w:name="_Toc267251515"/>
      <w:bookmarkStart w:id="624" w:name="_Toc267251510"/>
      <w:bookmarkStart w:id="625" w:name="_Toc267251509"/>
      <w:bookmarkStart w:id="626" w:name="_Toc267251514"/>
      <w:r>
        <w:rPr>
          <w:rFonts w:hint="eastAsia" w:ascii="宋体" w:hAnsi="宋体" w:eastAsia="宋体" w:cs="宋体"/>
          <w:color w:val="auto"/>
          <w:kern w:val="0"/>
          <w:sz w:val="21"/>
          <w:szCs w:val="21"/>
          <w:highlight w:val="none"/>
        </w:rPr>
        <w:t>承包人提交最终结清申请单的份数：</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0CAC5DF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承包人提交最终结算申请单的期限：</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445E454F">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14.4.2 最终结清证书和支付</w:t>
      </w:r>
    </w:p>
    <w:p w14:paraId="7499678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（1）发包人完成最终结清申请单的审批并颁发最终结清证书的期限：</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11FF116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（2）发包人完成支付的期限：</w:t>
      </w:r>
      <w:r>
        <w:rPr>
          <w:rFonts w:hint="eastAsia" w:ascii="宋体" w:hAnsi="宋体" w:eastAsia="宋体" w:cs="宋体"/>
          <w:bCs/>
          <w:color w:val="auto"/>
          <w:sz w:val="21"/>
          <w:szCs w:val="21"/>
          <w:highlight w:val="none"/>
          <w:u w:val="single"/>
        </w:rPr>
        <w:t>按发包人要求执行</w:t>
      </w:r>
      <w:r>
        <w:rPr>
          <w:rFonts w:hint="eastAsia" w:ascii="宋体" w:hAnsi="宋体" w:eastAsia="宋体" w:cs="宋体"/>
          <w:color w:val="auto"/>
          <w:sz w:val="21"/>
          <w:szCs w:val="21"/>
          <w:highlight w:val="none"/>
          <w:u w:val="single"/>
        </w:rPr>
        <w:t>。</w:t>
      </w:r>
    </w:p>
    <w:p w14:paraId="656F92F7">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627" w:name="_Toc19976"/>
      <w:bookmarkStart w:id="628" w:name="_Toc51164684"/>
      <w:r>
        <w:rPr>
          <w:rFonts w:hint="eastAsia" w:ascii="宋体" w:hAnsi="宋体" w:eastAsia="宋体" w:cs="宋体"/>
          <w:b/>
          <w:color w:val="auto"/>
          <w:kern w:val="0"/>
          <w:sz w:val="21"/>
          <w:szCs w:val="21"/>
          <w:highlight w:val="none"/>
          <w:lang w:val="en-US" w:eastAsia="zh-CN" w:bidi="ar-SA"/>
        </w:rPr>
        <w:t>15. 缺陷责任期与保修</w:t>
      </w:r>
      <w:bookmarkEnd w:id="596"/>
      <w:bookmarkEnd w:id="627"/>
      <w:bookmarkEnd w:id="628"/>
    </w:p>
    <w:p w14:paraId="6DA836B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缺陷责任期</w:t>
      </w:r>
      <w:bookmarkEnd w:id="597"/>
    </w:p>
    <w:p w14:paraId="0B8A8FE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缺陷责任期的具体期限：</w:t>
      </w:r>
      <w:r>
        <w:rPr>
          <w:rFonts w:hint="eastAsia" w:ascii="宋体" w:hAnsi="宋体" w:eastAsia="宋体" w:cs="宋体"/>
          <w:bCs/>
          <w:color w:val="auto"/>
          <w:sz w:val="21"/>
          <w:szCs w:val="21"/>
          <w:highlight w:val="none"/>
          <w:u w:val="single"/>
        </w:rPr>
        <w:t>24个月</w:t>
      </w:r>
      <w:r>
        <w:rPr>
          <w:rFonts w:hint="eastAsia" w:ascii="宋体" w:hAnsi="宋体" w:eastAsia="宋体" w:cs="宋体"/>
          <w:color w:val="auto"/>
          <w:sz w:val="21"/>
          <w:szCs w:val="21"/>
          <w:highlight w:val="none"/>
          <w:u w:val="single"/>
        </w:rPr>
        <w:t>。</w:t>
      </w:r>
    </w:p>
    <w:p w14:paraId="2F5ECDA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 质量保证金</w:t>
      </w:r>
    </w:p>
    <w:p w14:paraId="30A205D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关于是否扣留质量保证金的约定：</w:t>
      </w:r>
      <w:r>
        <w:rPr>
          <w:rFonts w:hint="eastAsia" w:ascii="宋体" w:hAnsi="宋体" w:eastAsia="宋体" w:cs="宋体"/>
          <w:bCs/>
          <w:color w:val="auto"/>
          <w:sz w:val="21"/>
          <w:szCs w:val="21"/>
          <w:highlight w:val="none"/>
          <w:u w:val="single"/>
        </w:rPr>
        <w:t>按审定价的3%扣除质量保证金</w:t>
      </w:r>
      <w:r>
        <w:rPr>
          <w:rFonts w:hint="eastAsia" w:ascii="宋体" w:hAnsi="宋体" w:eastAsia="宋体" w:cs="宋体"/>
          <w:color w:val="auto"/>
          <w:sz w:val="21"/>
          <w:szCs w:val="21"/>
          <w:highlight w:val="none"/>
          <w:u w:val="single"/>
        </w:rPr>
        <w:t>。在工程项目竣工前，承包人按专用合同条款第3.7条提供履约担保的，发包人不得同时预留工程质量保证金。</w:t>
      </w:r>
    </w:p>
    <w:p w14:paraId="273275A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15.3.1 承包人提供质量保证金的方式</w:t>
      </w:r>
    </w:p>
    <w:bookmarkEnd w:id="598"/>
    <w:bookmarkEnd w:id="599"/>
    <w:p w14:paraId="2BB65347">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质量保证金采用以下第</w:t>
      </w:r>
      <w:r>
        <w:rPr>
          <w:rFonts w:hint="eastAsia" w:ascii="宋体" w:hAnsi="宋体" w:eastAsia="宋体" w:cs="宋体"/>
          <w:bCs/>
          <w:color w:val="0000FF"/>
          <w:sz w:val="21"/>
          <w:szCs w:val="21"/>
          <w:highlight w:val="none"/>
          <w:u w:val="single"/>
        </w:rPr>
        <w:t>（</w:t>
      </w:r>
      <w:r>
        <w:rPr>
          <w:rFonts w:hint="eastAsia" w:ascii="宋体" w:hAnsi="宋体" w:eastAsia="宋体" w:cs="宋体"/>
          <w:bCs/>
          <w:color w:val="0000FF"/>
          <w:sz w:val="21"/>
          <w:szCs w:val="21"/>
          <w:highlight w:val="none"/>
          <w:u w:val="single"/>
          <w:lang w:val="en-US" w:eastAsia="zh-CN"/>
        </w:rPr>
        <w:t>2</w:t>
      </w:r>
      <w:r>
        <w:rPr>
          <w:rFonts w:hint="eastAsia" w:ascii="宋体" w:hAnsi="宋体" w:eastAsia="宋体" w:cs="宋体"/>
          <w:bCs/>
          <w:color w:val="0000FF"/>
          <w:sz w:val="21"/>
          <w:szCs w:val="21"/>
          <w:highlight w:val="none"/>
          <w:u w:val="single"/>
        </w:rPr>
        <w:t>）</w:t>
      </w:r>
      <w:r>
        <w:rPr>
          <w:rFonts w:hint="eastAsia" w:ascii="宋体" w:hAnsi="宋体" w:eastAsia="宋体" w:cs="宋体"/>
          <w:color w:val="auto"/>
          <w:sz w:val="21"/>
          <w:szCs w:val="21"/>
          <w:highlight w:val="none"/>
        </w:rPr>
        <w:t>种方式：</w:t>
      </w:r>
    </w:p>
    <w:p w14:paraId="39278227">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（1）质量保证金保函，保证金额为：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 xml:space="preserve">； </w:t>
      </w:r>
    </w:p>
    <w:p w14:paraId="7824B9D7">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bCs/>
          <w:color w:val="auto"/>
          <w:kern w:val="0"/>
          <w:sz w:val="21"/>
          <w:szCs w:val="21"/>
          <w:highlight w:val="none"/>
          <w:lang w:eastAsia="zh-CN"/>
        </w:rPr>
        <w:t>审定价的</w:t>
      </w:r>
      <w:r>
        <w:rPr>
          <w:rFonts w:hint="eastAsia" w:ascii="宋体" w:hAnsi="宋体" w:eastAsia="宋体" w:cs="宋体"/>
          <w:bCs/>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u w:val="single"/>
          <w:lang w:eastAsia="zh-CN"/>
        </w:rPr>
        <w:t>3</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的工程款；</w:t>
      </w:r>
    </w:p>
    <w:p w14:paraId="71EA2BA5">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（3）其他方式:</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1494BDB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15.3.2 质量保证金的扣留</w:t>
      </w:r>
    </w:p>
    <w:p w14:paraId="725B2AE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质量保证金的扣留采取以下第</w:t>
      </w:r>
      <w:r>
        <w:rPr>
          <w:rFonts w:hint="eastAsia" w:ascii="宋体" w:hAnsi="宋体" w:eastAsia="宋体" w:cs="宋体"/>
          <w:bCs/>
          <w:color w:val="auto"/>
          <w:sz w:val="21"/>
          <w:szCs w:val="21"/>
          <w:highlight w:val="none"/>
          <w:u w:val="single"/>
          <w:lang w:val="en-US" w:eastAsia="zh-CN"/>
        </w:rPr>
        <w:tab/>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种方式：</w:t>
      </w:r>
    </w:p>
    <w:p w14:paraId="4E5BACE4">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（1）在支付工程进度款时逐次扣留，在此情形下，质量保证金的计算基数不包括预付款的支付、扣回以及价格调整的金额；</w:t>
      </w:r>
    </w:p>
    <w:p w14:paraId="12DC11FC">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（2）工程竣工结算时一次性扣留质量保证金；</w:t>
      </w:r>
    </w:p>
    <w:p w14:paraId="6F4669EB">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（3）其他扣留方式: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bCs/>
          <w:color w:val="auto"/>
          <w:kern w:val="0"/>
          <w:sz w:val="21"/>
          <w:szCs w:val="21"/>
          <w:highlight w:val="none"/>
          <w:u w:val="single"/>
        </w:rPr>
        <w:t>/</w:t>
      </w:r>
      <w:r>
        <w:rPr>
          <w:rFonts w:hint="eastAsia" w:ascii="宋体" w:hAnsi="宋体" w:eastAsia="宋体" w:cs="宋体"/>
          <w:color w:val="auto"/>
          <w:kern w:val="0"/>
          <w:sz w:val="21"/>
          <w:szCs w:val="21"/>
          <w:highlight w:val="none"/>
          <w:u w:val="single"/>
        </w:rPr>
        <w:t>。</w:t>
      </w:r>
    </w:p>
    <w:p w14:paraId="76C889D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关于质量保证金的补充约定：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7780AABD">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 保修</w:t>
      </w:r>
    </w:p>
    <w:bookmarkEnd w:id="600"/>
    <w:p w14:paraId="744211F8">
      <w:pPr>
        <w:pageBreakBefore w:val="0"/>
        <w:widowControl w:val="0"/>
        <w:kinsoku/>
        <w:wordWrap/>
        <w:overflowPunct/>
        <w:topLinePunct w:val="0"/>
        <w:bidi w:val="0"/>
        <w:snapToGrid/>
        <w:spacing w:line="400" w:lineRule="exact"/>
        <w:ind w:firstLine="409" w:firstLineChars="195"/>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15.4.1 保修责任</w:t>
      </w:r>
    </w:p>
    <w:p w14:paraId="21088B94">
      <w:pPr>
        <w:pageBreakBefore w:val="0"/>
        <w:widowControl w:val="0"/>
        <w:kinsoku/>
        <w:wordWrap/>
        <w:overflowPunct/>
        <w:topLinePunct w:val="0"/>
        <w:bidi w:val="0"/>
        <w:snapToGrid/>
        <w:spacing w:line="400" w:lineRule="exact"/>
        <w:ind w:firstLine="409" w:firstLineChars="195"/>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工程保修期为：</w:t>
      </w:r>
      <w:r>
        <w:rPr>
          <w:rFonts w:hint="eastAsia" w:ascii="宋体" w:hAnsi="宋体" w:eastAsia="宋体" w:cs="宋体"/>
          <w:bCs/>
          <w:color w:val="auto"/>
          <w:kern w:val="0"/>
          <w:sz w:val="21"/>
          <w:szCs w:val="21"/>
          <w:highlight w:val="none"/>
          <w:u w:val="single"/>
        </w:rPr>
        <w:t>详见工程质量保修书</w:t>
      </w:r>
      <w:r>
        <w:rPr>
          <w:rFonts w:hint="eastAsia" w:ascii="宋体" w:hAnsi="宋体" w:eastAsia="宋体" w:cs="宋体"/>
          <w:color w:val="auto"/>
          <w:kern w:val="0"/>
          <w:sz w:val="21"/>
          <w:szCs w:val="21"/>
          <w:highlight w:val="none"/>
          <w:u w:val="single"/>
        </w:rPr>
        <w:t>。</w:t>
      </w:r>
    </w:p>
    <w:p w14:paraId="217DE219">
      <w:pPr>
        <w:pageBreakBefore w:val="0"/>
        <w:widowControl w:val="0"/>
        <w:kinsoku/>
        <w:wordWrap/>
        <w:overflowPunct/>
        <w:topLinePunct w:val="0"/>
        <w:bidi w:val="0"/>
        <w:snapToGrid/>
        <w:spacing w:line="400" w:lineRule="exact"/>
        <w:ind w:firstLine="409" w:firstLineChars="195"/>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15.4.3 修复通知</w:t>
      </w:r>
    </w:p>
    <w:bookmarkEnd w:id="601"/>
    <w:bookmarkEnd w:id="602"/>
    <w:bookmarkEnd w:id="603"/>
    <w:bookmarkEnd w:id="604"/>
    <w:p w14:paraId="7EA69491">
      <w:pPr>
        <w:pageBreakBefore w:val="0"/>
        <w:widowControl w:val="0"/>
        <w:kinsoku/>
        <w:wordWrap/>
        <w:overflowPunct/>
        <w:topLinePunct w:val="0"/>
        <w:bidi w:val="0"/>
        <w:snapToGrid/>
        <w:spacing w:line="400" w:lineRule="exact"/>
        <w:ind w:firstLine="409" w:firstLineChars="195"/>
        <w:jc w:val="left"/>
        <w:textAlignment w:val="auto"/>
        <w:rPr>
          <w:rFonts w:hint="eastAsia" w:ascii="宋体" w:hAnsi="宋体" w:eastAsia="宋体" w:cs="宋体"/>
          <w:color w:val="auto"/>
          <w:kern w:val="0"/>
          <w:sz w:val="21"/>
          <w:szCs w:val="21"/>
          <w:highlight w:val="none"/>
          <w:u w:val="single"/>
        </w:rPr>
      </w:pPr>
      <w:bookmarkStart w:id="629" w:name="_Toc351203648"/>
      <w:bookmarkStart w:id="630" w:name="_Toc280868717"/>
      <w:bookmarkStart w:id="631" w:name="_Toc280868718"/>
      <w:r>
        <w:rPr>
          <w:rFonts w:hint="eastAsia" w:ascii="宋体" w:hAnsi="宋体" w:eastAsia="宋体" w:cs="宋体"/>
          <w:color w:val="auto"/>
          <w:kern w:val="0"/>
          <w:sz w:val="21"/>
          <w:szCs w:val="21"/>
          <w:highlight w:val="none"/>
        </w:rPr>
        <w:t>承包人收到保修通知并到达工程现场的合理时间：</w:t>
      </w:r>
      <w:r>
        <w:rPr>
          <w:rFonts w:hint="eastAsia" w:ascii="宋体" w:hAnsi="宋体" w:eastAsia="宋体" w:cs="宋体"/>
          <w:bCs/>
          <w:color w:val="auto"/>
          <w:kern w:val="0"/>
          <w:sz w:val="21"/>
          <w:szCs w:val="21"/>
          <w:highlight w:val="none"/>
          <w:u w:val="single"/>
        </w:rPr>
        <w:t>承包人收到保修通知后</w:t>
      </w:r>
      <w:r>
        <w:rPr>
          <w:rFonts w:hint="eastAsia" w:ascii="宋体" w:hAnsi="宋体" w:eastAsia="宋体" w:cs="宋体"/>
          <w:bCs/>
          <w:color w:val="auto"/>
          <w:kern w:val="0"/>
          <w:sz w:val="21"/>
          <w:szCs w:val="21"/>
          <w:highlight w:val="none"/>
          <w:u w:val="single"/>
          <w:lang w:val="en-US" w:eastAsia="zh-CN"/>
        </w:rPr>
        <w:t>24</w:t>
      </w:r>
      <w:r>
        <w:rPr>
          <w:rFonts w:hint="eastAsia" w:ascii="宋体" w:hAnsi="宋体" w:eastAsia="宋体" w:cs="宋体"/>
          <w:bCs/>
          <w:color w:val="auto"/>
          <w:kern w:val="0"/>
          <w:sz w:val="21"/>
          <w:szCs w:val="21"/>
          <w:highlight w:val="none"/>
          <w:u w:val="single"/>
        </w:rPr>
        <w:t>小时内到达工程现场</w:t>
      </w:r>
      <w:r>
        <w:rPr>
          <w:rFonts w:hint="eastAsia" w:ascii="宋体" w:hAnsi="宋体" w:eastAsia="宋体" w:cs="宋体"/>
          <w:color w:val="auto"/>
          <w:kern w:val="0"/>
          <w:sz w:val="21"/>
          <w:szCs w:val="21"/>
          <w:highlight w:val="none"/>
          <w:u w:val="single"/>
        </w:rPr>
        <w:t>。</w:t>
      </w:r>
    </w:p>
    <w:p w14:paraId="6C31FE32">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632" w:name="_Toc20014"/>
      <w:bookmarkStart w:id="633" w:name="_Toc51164685"/>
      <w:r>
        <w:rPr>
          <w:rFonts w:hint="eastAsia" w:ascii="宋体" w:hAnsi="宋体" w:eastAsia="宋体" w:cs="宋体"/>
          <w:b/>
          <w:color w:val="auto"/>
          <w:kern w:val="0"/>
          <w:sz w:val="21"/>
          <w:szCs w:val="21"/>
          <w:highlight w:val="none"/>
          <w:lang w:val="en-US" w:eastAsia="zh-CN" w:bidi="ar-SA"/>
        </w:rPr>
        <w:t>16. 违约</w:t>
      </w:r>
      <w:bookmarkEnd w:id="629"/>
      <w:bookmarkEnd w:id="632"/>
      <w:bookmarkEnd w:id="633"/>
    </w:p>
    <w:p w14:paraId="2F0D764F">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发包人违约</w:t>
      </w:r>
    </w:p>
    <w:p w14:paraId="7DEB5AAC">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 发包人违约的情形</w:t>
      </w:r>
    </w:p>
    <w:p w14:paraId="0572CE4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发包人违约的其他情形：</w:t>
      </w:r>
      <w:r>
        <w:rPr>
          <w:rFonts w:hint="eastAsia" w:ascii="宋体" w:hAnsi="宋体" w:eastAsia="宋体" w:cs="宋体"/>
          <w:bCs/>
          <w:color w:val="auto"/>
          <w:kern w:val="0"/>
          <w:sz w:val="21"/>
          <w:szCs w:val="21"/>
          <w:highlight w:val="none"/>
          <w:u w:val="single"/>
        </w:rPr>
        <w:t>若因发包人原因需减少或取消部分工程量清单，发包人只对已发生的合格工程量负责，根据已发生的合格工程量与承包人办理结算，不承担其它违约责任</w:t>
      </w:r>
      <w:r>
        <w:rPr>
          <w:rFonts w:hint="eastAsia" w:ascii="宋体" w:hAnsi="宋体" w:eastAsia="宋体" w:cs="宋体"/>
          <w:color w:val="auto"/>
          <w:kern w:val="0"/>
          <w:sz w:val="21"/>
          <w:szCs w:val="21"/>
          <w:highlight w:val="none"/>
          <w:u w:val="single"/>
        </w:rPr>
        <w:t>。</w:t>
      </w:r>
    </w:p>
    <w:p w14:paraId="323C3BC0">
      <w:pPr>
        <w:pageBreakBefore w:val="0"/>
        <w:widowControl w:val="0"/>
        <w:kinsoku/>
        <w:wordWrap/>
        <w:overflowPunct/>
        <w:topLinePunct w:val="0"/>
        <w:bidi w:val="0"/>
        <w:snapToGrid/>
        <w:spacing w:line="400" w:lineRule="exact"/>
        <w:ind w:left="210" w:firstLine="21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16.1.2 发包人违约的责任</w:t>
      </w:r>
    </w:p>
    <w:p w14:paraId="1FD71D54">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发包人违约责任的承担方式和计算方法：</w:t>
      </w:r>
    </w:p>
    <w:p w14:paraId="1446716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（1）因发包人原因未能在计划开工日期前7天内下达开工通知的违约责任：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07DC694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（2）因发包人原因未能按合同约定支付合同价款的违约责任：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553933E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（3）发包人违反第10.1款〔变更的范围〕第</w:t>
      </w:r>
      <w:r>
        <w:rPr>
          <w:rFonts w:hint="eastAsia" w:ascii="宋体" w:hAnsi="宋体" w:eastAsia="宋体" w:cs="宋体"/>
          <w:color w:val="auto"/>
          <w:kern w:val="0"/>
          <w:sz w:val="21"/>
          <w:szCs w:val="21"/>
          <w:highlight w:val="none"/>
          <w:u w:val="single"/>
        </w:rPr>
        <w:t>（2）</w:t>
      </w:r>
      <w:r>
        <w:rPr>
          <w:rFonts w:hint="eastAsia" w:ascii="宋体" w:hAnsi="宋体" w:eastAsia="宋体" w:cs="宋体"/>
          <w:color w:val="auto"/>
          <w:kern w:val="0"/>
          <w:sz w:val="21"/>
          <w:szCs w:val="21"/>
          <w:highlight w:val="none"/>
        </w:rPr>
        <w:t>项约定，自行实施被取消的工作或转由他人实施的违约责任：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05648B5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76CCA81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（5）因发包人违反合同约定造成暂停施工的违约责任：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2D53D3D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（6）发包人无正当理由没有在约定期限内发出复工指示，导致承包人无法复工的违约责任：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2483FF5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（7）其他：</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11A6DA6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16.1.3 因发包人违约解除合同</w:t>
      </w:r>
    </w:p>
    <w:p w14:paraId="745D9ADD">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承包人按16.1.1项〔发包人违约的情形〕约定暂停施工满</w:t>
      </w:r>
      <w:r>
        <w:rPr>
          <w:rFonts w:hint="eastAsia" w:ascii="宋体" w:hAnsi="宋体" w:eastAsia="宋体" w:cs="宋体"/>
          <w:bCs/>
          <w:color w:val="auto"/>
          <w:kern w:val="0"/>
          <w:sz w:val="21"/>
          <w:szCs w:val="21"/>
          <w:highlight w:val="none"/>
        </w:rPr>
        <w:t>/</w:t>
      </w:r>
      <w:r>
        <w:rPr>
          <w:rFonts w:hint="eastAsia" w:ascii="宋体" w:hAnsi="宋体" w:eastAsia="宋体" w:cs="宋体"/>
          <w:color w:val="auto"/>
          <w:kern w:val="0"/>
          <w:sz w:val="21"/>
          <w:szCs w:val="21"/>
          <w:highlight w:val="none"/>
        </w:rPr>
        <w:t>天后发包人仍不纠正其违约行为并致使合同目的不能实现的，承包人有权解除合同。</w:t>
      </w:r>
    </w:p>
    <w:p w14:paraId="75EF165F">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承包人违约</w:t>
      </w:r>
    </w:p>
    <w:p w14:paraId="502C1A4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bookmarkStart w:id="634" w:name="_Toc351203649"/>
      <w:r>
        <w:rPr>
          <w:rFonts w:hint="eastAsia" w:ascii="宋体" w:hAnsi="宋体" w:eastAsia="宋体" w:cs="宋体"/>
          <w:color w:val="auto"/>
          <w:kern w:val="0"/>
          <w:sz w:val="21"/>
          <w:szCs w:val="21"/>
          <w:highlight w:val="none"/>
        </w:rPr>
        <w:t>16.2.1 承包人违约的情形</w:t>
      </w:r>
    </w:p>
    <w:p w14:paraId="788A3C80">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承包人违约的其他情形：</w:t>
      </w:r>
      <w:r>
        <w:rPr>
          <w:rFonts w:hint="eastAsia" w:ascii="宋体" w:hAnsi="宋体" w:eastAsia="宋体" w:cs="宋体"/>
          <w:bCs/>
          <w:color w:val="auto"/>
          <w:kern w:val="0"/>
          <w:sz w:val="21"/>
          <w:szCs w:val="21"/>
          <w:highlight w:val="none"/>
          <w:u w:val="single"/>
        </w:rPr>
        <w:t>（1）承包人必须遵守发包人发布的工程变更签证管理制度及各项管理规定。包括发包人委托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2）承包人不得以任何理由拒绝发包人提出的关于工程设计变更及其他零星工作施工的要求，否则按本合同相关条款执行</w:t>
      </w:r>
      <w:r>
        <w:rPr>
          <w:rFonts w:hint="eastAsia" w:ascii="宋体" w:hAnsi="宋体" w:eastAsia="宋体" w:cs="宋体"/>
          <w:color w:val="auto"/>
          <w:kern w:val="0"/>
          <w:sz w:val="21"/>
          <w:szCs w:val="21"/>
          <w:highlight w:val="none"/>
          <w:u w:val="single"/>
        </w:rPr>
        <w:t>。</w:t>
      </w:r>
    </w:p>
    <w:p w14:paraId="58D5F63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16.2.2 承包人违约的责任</w:t>
      </w:r>
    </w:p>
    <w:p w14:paraId="52A6176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承包人违约责任的承担方式和计算方法：</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4D57CAC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16.2.3 因承包人违约解除合同</w:t>
      </w:r>
    </w:p>
    <w:p w14:paraId="40F6B97A">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关于承包人违约解除合同的特别约定：</w:t>
      </w:r>
      <w:r>
        <w:rPr>
          <w:rFonts w:hint="eastAsia" w:ascii="宋体" w:hAnsi="宋体" w:eastAsia="宋体" w:cs="宋体"/>
          <w:bCs/>
          <w:color w:val="auto"/>
          <w:kern w:val="0"/>
          <w:sz w:val="21"/>
          <w:szCs w:val="21"/>
          <w:highlight w:val="none"/>
          <w:u w:val="single"/>
        </w:rPr>
        <w:t>1、现场具备施工条件后，承包人应按要求的进度及监理发出的开工令及时组织开工，无故拖延工程开工达30日且协商不成的，发包人有权单方解除合同，承包人承担由此产生的</w:t>
      </w:r>
      <w:r>
        <w:rPr>
          <w:rFonts w:hint="eastAsia" w:ascii="宋体" w:hAnsi="宋体" w:eastAsia="宋体" w:cs="宋体"/>
          <w:bCs/>
          <w:color w:val="auto"/>
          <w:kern w:val="0"/>
          <w:sz w:val="21"/>
          <w:szCs w:val="21"/>
          <w:highlight w:val="none"/>
          <w:u w:val="single"/>
          <w:lang w:eastAsia="zh-CN"/>
        </w:rPr>
        <w:t>重新招标、专家论证等</w:t>
      </w:r>
      <w:r>
        <w:rPr>
          <w:rFonts w:hint="eastAsia" w:ascii="宋体" w:hAnsi="宋体" w:eastAsia="宋体" w:cs="宋体"/>
          <w:bCs/>
          <w:color w:val="auto"/>
          <w:kern w:val="0"/>
          <w:sz w:val="21"/>
          <w:szCs w:val="21"/>
          <w:highlight w:val="none"/>
          <w:u w:val="single"/>
        </w:rPr>
        <w:t>一切损失和相关责任。2、因承包人原因造成工期延误30天以上（对比同期工程总进度计划），除扣除相应延期违约金外，承包人必须制定相应的赶工计划和赶工措施，赶工不力或拒不赶工的，工期延误45天以上（对比同期工程总进度计划），发包人有权解除合同。3、发包人有证据确认本工程中标的项目经理无法胜任或者不能积极配合监理人及发包人正常工作的，经发包人提出后，必须在 3 日内调离本工程，同时承包人应在 3 日内用发包人批准的项目经理代替上述调离的中标项目经理，若拒不整改，发包人有权解除合同。4、承包人在工程施工过程中，使用劣质材料或检测不合格材料，经监理单位和发包人查实且拒不整改的，发包方有权单方解除合同</w:t>
      </w:r>
      <w:r>
        <w:rPr>
          <w:rFonts w:hint="eastAsia" w:ascii="宋体" w:hAnsi="宋体" w:eastAsia="宋体" w:cs="宋体"/>
          <w:color w:val="auto"/>
          <w:kern w:val="0"/>
          <w:sz w:val="21"/>
          <w:szCs w:val="21"/>
          <w:highlight w:val="none"/>
          <w:u w:val="single"/>
        </w:rPr>
        <w:t>。</w:t>
      </w:r>
    </w:p>
    <w:p w14:paraId="449522C4">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w:t>
      </w:r>
    </w:p>
    <w:p w14:paraId="53D725A6">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635" w:name="_Toc14379"/>
      <w:bookmarkStart w:id="636" w:name="_Toc51164686"/>
      <w:r>
        <w:rPr>
          <w:rFonts w:hint="eastAsia" w:ascii="宋体" w:hAnsi="宋体" w:eastAsia="宋体" w:cs="宋体"/>
          <w:b/>
          <w:color w:val="auto"/>
          <w:kern w:val="0"/>
          <w:sz w:val="21"/>
          <w:szCs w:val="21"/>
          <w:highlight w:val="none"/>
          <w:lang w:val="en-US" w:eastAsia="zh-CN" w:bidi="ar-SA"/>
        </w:rPr>
        <w:t>17. 不可抗力</w:t>
      </w:r>
      <w:bookmarkEnd w:id="634"/>
      <w:bookmarkEnd w:id="635"/>
      <w:bookmarkEnd w:id="636"/>
      <w:r>
        <w:rPr>
          <w:rFonts w:hint="eastAsia" w:ascii="宋体" w:hAnsi="宋体" w:eastAsia="宋体" w:cs="宋体"/>
          <w:b/>
          <w:color w:val="auto"/>
          <w:kern w:val="0"/>
          <w:sz w:val="21"/>
          <w:szCs w:val="21"/>
          <w:highlight w:val="none"/>
          <w:lang w:val="en-US" w:eastAsia="zh-CN" w:bidi="ar-SA"/>
        </w:rPr>
        <w:t xml:space="preserve"> </w:t>
      </w:r>
      <w:bookmarkEnd w:id="630"/>
    </w:p>
    <w:p w14:paraId="5738A282">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不可抗力的确认</w:t>
      </w:r>
    </w:p>
    <w:p w14:paraId="25B7DCB3">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除通用合同条款约定的不可抗力事件之外，视为不可抗力的其他情形：</w:t>
      </w:r>
      <w:r>
        <w:rPr>
          <w:rFonts w:hint="eastAsia" w:ascii="宋体" w:hAnsi="宋体" w:eastAsia="宋体" w:cs="宋体"/>
          <w:bCs/>
          <w:color w:val="auto"/>
          <w:kern w:val="0"/>
          <w:sz w:val="21"/>
          <w:szCs w:val="21"/>
          <w:highlight w:val="none"/>
        </w:rPr>
        <w:t>因战争、动乱、空中飞行物体坠落或其他非发包方承包方责任造成的爆炸、火灾，以及自然灾害</w:t>
      </w:r>
      <w:r>
        <w:rPr>
          <w:rFonts w:hint="eastAsia" w:ascii="宋体" w:hAnsi="宋体" w:eastAsia="宋体" w:cs="宋体"/>
          <w:color w:val="auto"/>
          <w:kern w:val="0"/>
          <w:sz w:val="21"/>
          <w:szCs w:val="21"/>
          <w:highlight w:val="none"/>
        </w:rPr>
        <w:t>。</w:t>
      </w:r>
    </w:p>
    <w:p w14:paraId="537C5B74">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因不可抗力解除合同</w:t>
      </w:r>
    </w:p>
    <w:p w14:paraId="1267B71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bookmarkStart w:id="637" w:name="_Toc351203650"/>
      <w:r>
        <w:rPr>
          <w:rFonts w:hint="eastAsia" w:ascii="宋体" w:hAnsi="宋体" w:eastAsia="宋体" w:cs="宋体"/>
          <w:color w:val="auto"/>
          <w:sz w:val="21"/>
          <w:szCs w:val="21"/>
          <w:highlight w:val="none"/>
        </w:rPr>
        <w:t>合同解除后，发包人应在商定或确定发包人应支付款项后</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天内完成款项的支付。</w:t>
      </w:r>
    </w:p>
    <w:p w14:paraId="36A074B4">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638" w:name="_Toc29459"/>
      <w:bookmarkStart w:id="639" w:name="_Toc51164687"/>
      <w:r>
        <w:rPr>
          <w:rFonts w:hint="eastAsia" w:ascii="宋体" w:hAnsi="宋体" w:eastAsia="宋体" w:cs="宋体"/>
          <w:b/>
          <w:color w:val="auto"/>
          <w:kern w:val="0"/>
          <w:sz w:val="21"/>
          <w:szCs w:val="21"/>
          <w:highlight w:val="none"/>
          <w:lang w:val="en-US" w:eastAsia="zh-CN" w:bidi="ar-SA"/>
        </w:rPr>
        <w:t>18. 保险</w:t>
      </w:r>
      <w:bookmarkEnd w:id="637"/>
      <w:bookmarkEnd w:id="638"/>
      <w:bookmarkEnd w:id="639"/>
    </w:p>
    <w:bookmarkEnd w:id="631"/>
    <w:p w14:paraId="399AA0C5">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工程保险</w:t>
      </w:r>
    </w:p>
    <w:p w14:paraId="613AC63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关于工程保险的特别约定：</w:t>
      </w:r>
      <w:r>
        <w:rPr>
          <w:rFonts w:hint="eastAsia" w:ascii="宋体" w:hAnsi="宋体" w:eastAsia="宋体" w:cs="宋体"/>
          <w:bCs/>
          <w:color w:val="auto"/>
          <w:kern w:val="0"/>
          <w:sz w:val="21"/>
          <w:szCs w:val="21"/>
          <w:highlight w:val="none"/>
          <w:u w:val="single"/>
        </w:rPr>
        <w:t>承包人必须按国家相关规定为从职工办理安全生产责任保险、第三方人身以及其它依据国家、江苏省、常州市有关法律、法规、规章、规范性文件应当办理的人身、财产保险，否则发包人有权从工程款中代扣缴</w:t>
      </w:r>
      <w:r>
        <w:rPr>
          <w:rFonts w:hint="eastAsia" w:ascii="宋体" w:hAnsi="宋体" w:eastAsia="宋体" w:cs="宋体"/>
          <w:color w:val="auto"/>
          <w:kern w:val="0"/>
          <w:sz w:val="21"/>
          <w:szCs w:val="21"/>
          <w:highlight w:val="none"/>
          <w:u w:val="single"/>
        </w:rPr>
        <w:t>。</w:t>
      </w:r>
    </w:p>
    <w:p w14:paraId="0207366E">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 其他保险</w:t>
      </w:r>
    </w:p>
    <w:p w14:paraId="47A21B2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关于其他保险的约定：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w:t>
      </w:r>
    </w:p>
    <w:p w14:paraId="6CD6A242">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承包人是否应为其施工设备等办理财产保险：</w:t>
      </w:r>
      <w:r>
        <w:rPr>
          <w:rFonts w:hint="eastAsia" w:ascii="宋体" w:hAnsi="宋体" w:eastAsia="宋体" w:cs="宋体"/>
          <w:bCs/>
          <w:color w:val="auto"/>
          <w:kern w:val="0"/>
          <w:sz w:val="21"/>
          <w:szCs w:val="21"/>
          <w:highlight w:val="none"/>
          <w:u w:val="single"/>
        </w:rPr>
        <w:t>承包人自理</w:t>
      </w:r>
      <w:r>
        <w:rPr>
          <w:rFonts w:hint="eastAsia" w:ascii="宋体" w:hAnsi="宋体" w:eastAsia="宋体" w:cs="宋体"/>
          <w:color w:val="auto"/>
          <w:sz w:val="21"/>
          <w:szCs w:val="21"/>
          <w:highlight w:val="none"/>
          <w:u w:val="single"/>
        </w:rPr>
        <w:t>。</w:t>
      </w:r>
    </w:p>
    <w:p w14:paraId="52339105">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 通知义务</w:t>
      </w:r>
    </w:p>
    <w:p w14:paraId="16A014FD">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关于变更保险合同时的通知义务的约定：</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w:t>
      </w:r>
    </w:p>
    <w:bookmarkEnd w:id="605"/>
    <w:bookmarkEnd w:id="606"/>
    <w:bookmarkEnd w:id="607"/>
    <w:bookmarkEnd w:id="608"/>
    <w:bookmarkEnd w:id="609"/>
    <w:bookmarkEnd w:id="610"/>
    <w:bookmarkEnd w:id="611"/>
    <w:bookmarkEnd w:id="612"/>
    <w:bookmarkEnd w:id="613"/>
    <w:bookmarkEnd w:id="614"/>
    <w:bookmarkEnd w:id="615"/>
    <w:bookmarkEnd w:id="616"/>
    <w:p w14:paraId="2682C80C">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color w:val="auto"/>
          <w:kern w:val="0"/>
          <w:sz w:val="21"/>
          <w:szCs w:val="21"/>
          <w:highlight w:val="none"/>
          <w:lang w:val="en-US" w:eastAsia="zh-CN" w:bidi="ar-SA"/>
        </w:rPr>
      </w:pPr>
      <w:bookmarkStart w:id="640" w:name="_Toc28462"/>
      <w:bookmarkStart w:id="641" w:name="_Toc51164688"/>
      <w:bookmarkStart w:id="642" w:name="_Toc351203651"/>
      <w:r>
        <w:rPr>
          <w:rFonts w:hint="eastAsia" w:ascii="宋体" w:hAnsi="宋体" w:eastAsia="宋体" w:cs="宋体"/>
          <w:b/>
          <w:color w:val="auto"/>
          <w:kern w:val="0"/>
          <w:sz w:val="21"/>
          <w:szCs w:val="21"/>
          <w:highlight w:val="none"/>
          <w:lang w:val="en-US" w:eastAsia="zh-CN" w:bidi="ar-SA"/>
        </w:rPr>
        <w:t>20. 争议解决</w:t>
      </w:r>
      <w:bookmarkEnd w:id="640"/>
      <w:bookmarkEnd w:id="641"/>
      <w:bookmarkEnd w:id="642"/>
    </w:p>
    <w:bookmarkEnd w:id="617"/>
    <w:bookmarkEnd w:id="618"/>
    <w:p w14:paraId="472A4798">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 争</w:t>
      </w:r>
      <w:bookmarkEnd w:id="619"/>
      <w:r>
        <w:rPr>
          <w:rFonts w:hint="eastAsia" w:ascii="宋体" w:hAnsi="宋体" w:eastAsia="宋体" w:cs="宋体"/>
          <w:color w:val="auto"/>
          <w:sz w:val="21"/>
          <w:szCs w:val="21"/>
          <w:highlight w:val="none"/>
        </w:rPr>
        <w:t>议评审</w:t>
      </w:r>
    </w:p>
    <w:p w14:paraId="06D18286">
      <w:pPr>
        <w:pageBreakBefore w:val="0"/>
        <w:widowControl w:val="0"/>
        <w:kinsoku/>
        <w:wordWrap/>
        <w:overflowPunct/>
        <w:topLinePunct w:val="0"/>
        <w:bidi w:val="0"/>
        <w:snapToGrid/>
        <w:spacing w:line="400" w:lineRule="exact"/>
        <w:ind w:left="149" w:leftChars="71" w:firstLine="315" w:firstLineChars="1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合同当事人是否同意将工程争议提交争议评审小组决定：</w:t>
      </w:r>
      <w:r>
        <w:rPr>
          <w:rFonts w:hint="eastAsia" w:ascii="宋体" w:hAnsi="宋体" w:eastAsia="宋体" w:cs="宋体"/>
          <w:bCs/>
          <w:color w:val="auto"/>
          <w:kern w:val="0"/>
          <w:sz w:val="21"/>
          <w:szCs w:val="21"/>
          <w:highlight w:val="none"/>
          <w:u w:val="single"/>
        </w:rPr>
        <w:t>按通用条款规定执行</w:t>
      </w:r>
      <w:r>
        <w:rPr>
          <w:rFonts w:hint="eastAsia" w:ascii="宋体" w:hAnsi="宋体" w:eastAsia="宋体" w:cs="宋体"/>
          <w:color w:val="auto"/>
          <w:sz w:val="21"/>
          <w:szCs w:val="21"/>
          <w:highlight w:val="none"/>
          <w:u w:val="single"/>
        </w:rPr>
        <w:t>。</w:t>
      </w:r>
    </w:p>
    <w:p w14:paraId="2F4D20E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20.3.1 争议评审小组的确定</w:t>
      </w:r>
    </w:p>
    <w:p w14:paraId="56CAF87B">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争议评审小组成员的确定：</w:t>
      </w:r>
      <w:r>
        <w:rPr>
          <w:rFonts w:hint="eastAsia" w:ascii="宋体" w:hAnsi="宋体" w:eastAsia="宋体" w:cs="宋体"/>
          <w:bCs/>
          <w:color w:val="auto"/>
          <w:kern w:val="0"/>
          <w:sz w:val="21"/>
          <w:szCs w:val="21"/>
          <w:highlight w:val="none"/>
          <w:u w:val="single"/>
        </w:rPr>
        <w:t>按通用条款规定执行</w:t>
      </w:r>
      <w:r>
        <w:rPr>
          <w:rFonts w:hint="eastAsia" w:ascii="宋体" w:hAnsi="宋体" w:eastAsia="宋体" w:cs="宋体"/>
          <w:color w:val="auto"/>
          <w:sz w:val="21"/>
          <w:szCs w:val="21"/>
          <w:highlight w:val="none"/>
          <w:u w:val="single"/>
        </w:rPr>
        <w:t>。</w:t>
      </w:r>
    </w:p>
    <w:p w14:paraId="55ECDB5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选定争议评审员的期限：</w:t>
      </w:r>
      <w:r>
        <w:rPr>
          <w:rFonts w:hint="eastAsia" w:ascii="宋体" w:hAnsi="宋体" w:eastAsia="宋体" w:cs="宋体"/>
          <w:bCs/>
          <w:color w:val="auto"/>
          <w:kern w:val="0"/>
          <w:sz w:val="21"/>
          <w:szCs w:val="21"/>
          <w:highlight w:val="none"/>
          <w:u w:val="single"/>
        </w:rPr>
        <w:t>按通用条款规定执行</w:t>
      </w:r>
      <w:r>
        <w:rPr>
          <w:rFonts w:hint="eastAsia" w:ascii="宋体" w:hAnsi="宋体" w:eastAsia="宋体" w:cs="宋体"/>
          <w:color w:val="auto"/>
          <w:sz w:val="21"/>
          <w:szCs w:val="21"/>
          <w:highlight w:val="none"/>
          <w:u w:val="single"/>
        </w:rPr>
        <w:t>。</w:t>
      </w:r>
    </w:p>
    <w:p w14:paraId="0E11C15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争议评审小组成员的报酬承担方式：</w:t>
      </w:r>
      <w:r>
        <w:rPr>
          <w:rFonts w:hint="eastAsia" w:ascii="宋体" w:hAnsi="宋体" w:eastAsia="宋体" w:cs="宋体"/>
          <w:bCs/>
          <w:color w:val="auto"/>
          <w:kern w:val="0"/>
          <w:sz w:val="21"/>
          <w:szCs w:val="21"/>
          <w:highlight w:val="none"/>
          <w:u w:val="single"/>
        </w:rPr>
        <w:t>按通用条款规定执行</w:t>
      </w:r>
      <w:r>
        <w:rPr>
          <w:rFonts w:hint="eastAsia" w:ascii="宋体" w:hAnsi="宋体" w:eastAsia="宋体" w:cs="宋体"/>
          <w:color w:val="auto"/>
          <w:sz w:val="21"/>
          <w:szCs w:val="21"/>
          <w:highlight w:val="none"/>
          <w:u w:val="single"/>
        </w:rPr>
        <w:t>。</w:t>
      </w:r>
    </w:p>
    <w:p w14:paraId="547AD438">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其他事项的约定：</w:t>
      </w:r>
      <w:r>
        <w:rPr>
          <w:rFonts w:hint="eastAsia" w:ascii="宋体" w:hAnsi="宋体" w:eastAsia="宋体" w:cs="宋体"/>
          <w:bCs/>
          <w:color w:val="auto"/>
          <w:kern w:val="0"/>
          <w:sz w:val="21"/>
          <w:szCs w:val="21"/>
          <w:highlight w:val="none"/>
          <w:u w:val="single"/>
        </w:rPr>
        <w:t>按通用条款规定执行</w:t>
      </w:r>
      <w:r>
        <w:rPr>
          <w:rFonts w:hint="eastAsia" w:ascii="宋体" w:hAnsi="宋体" w:eastAsia="宋体" w:cs="宋体"/>
          <w:color w:val="auto"/>
          <w:sz w:val="21"/>
          <w:szCs w:val="21"/>
          <w:highlight w:val="none"/>
          <w:u w:val="single"/>
        </w:rPr>
        <w:t>。</w:t>
      </w:r>
    </w:p>
    <w:p w14:paraId="4633BE7B">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20.3.2 争议评审小组的决定</w:t>
      </w:r>
    </w:p>
    <w:p w14:paraId="04D3783E">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合同当事人关于本项的约定：</w:t>
      </w:r>
      <w:r>
        <w:rPr>
          <w:rFonts w:hint="eastAsia" w:ascii="宋体" w:hAnsi="宋体" w:eastAsia="宋体" w:cs="宋体"/>
          <w:bCs/>
          <w:color w:val="auto"/>
          <w:kern w:val="0"/>
          <w:sz w:val="21"/>
          <w:szCs w:val="21"/>
          <w:highlight w:val="none"/>
          <w:u w:val="single"/>
        </w:rPr>
        <w:t>按通用条款规定执行</w:t>
      </w:r>
      <w:r>
        <w:rPr>
          <w:rFonts w:hint="eastAsia" w:ascii="宋体" w:hAnsi="宋体" w:eastAsia="宋体" w:cs="宋体"/>
          <w:color w:val="auto"/>
          <w:sz w:val="21"/>
          <w:szCs w:val="21"/>
          <w:highlight w:val="none"/>
          <w:u w:val="single"/>
        </w:rPr>
        <w:t>。</w:t>
      </w:r>
    </w:p>
    <w:p w14:paraId="4B96B765">
      <w:pPr>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 仲裁或诉讼</w:t>
      </w:r>
      <w:bookmarkEnd w:id="620"/>
    </w:p>
    <w:bookmarkEnd w:id="621"/>
    <w:bookmarkEnd w:id="622"/>
    <w:bookmarkEnd w:id="623"/>
    <w:bookmarkEnd w:id="624"/>
    <w:bookmarkEnd w:id="625"/>
    <w:bookmarkEnd w:id="626"/>
    <w:p w14:paraId="78063949">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因合同及合同有关事项发生的争议，按下列第</w:t>
      </w:r>
      <w:r>
        <w:rPr>
          <w:rFonts w:hint="eastAsia" w:ascii="宋体" w:hAnsi="宋体" w:eastAsia="宋体" w:cs="宋体"/>
          <w:bCs/>
          <w:color w:val="auto"/>
          <w:sz w:val="21"/>
          <w:szCs w:val="21"/>
          <w:highlight w:val="none"/>
          <w:u w:val="single"/>
        </w:rPr>
        <w:t>（2）</w:t>
      </w:r>
      <w:r>
        <w:rPr>
          <w:rFonts w:hint="eastAsia" w:ascii="宋体" w:hAnsi="宋体" w:eastAsia="宋体" w:cs="宋体"/>
          <w:color w:val="auto"/>
          <w:sz w:val="21"/>
          <w:szCs w:val="21"/>
          <w:highlight w:val="none"/>
        </w:rPr>
        <w:t>种方式解决：</w:t>
      </w:r>
    </w:p>
    <w:p w14:paraId="4C48CD45">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（1）向仲裁委员会申请仲裁；</w:t>
      </w:r>
    </w:p>
    <w:p w14:paraId="0FA6C4F6">
      <w:pPr>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w:t>
      </w:r>
      <w:r>
        <w:rPr>
          <w:rFonts w:hint="eastAsia" w:ascii="宋体" w:hAnsi="宋体" w:eastAsia="宋体" w:cs="宋体"/>
          <w:bCs/>
          <w:color w:val="auto"/>
          <w:sz w:val="21"/>
          <w:szCs w:val="21"/>
          <w:highlight w:val="none"/>
          <w:u w:val="single"/>
        </w:rPr>
        <w:t>金坛区</w:t>
      </w:r>
      <w:r>
        <w:rPr>
          <w:rFonts w:hint="eastAsia" w:ascii="宋体" w:hAnsi="宋体" w:eastAsia="宋体" w:cs="宋体"/>
          <w:color w:val="auto"/>
          <w:sz w:val="21"/>
          <w:szCs w:val="21"/>
          <w:highlight w:val="none"/>
          <w:u w:val="none"/>
        </w:rPr>
        <w:t>人民</w:t>
      </w:r>
      <w:r>
        <w:rPr>
          <w:rFonts w:hint="eastAsia" w:ascii="宋体" w:hAnsi="宋体" w:eastAsia="宋体" w:cs="宋体"/>
          <w:color w:val="auto"/>
          <w:sz w:val="21"/>
          <w:szCs w:val="21"/>
          <w:highlight w:val="none"/>
        </w:rPr>
        <w:t>法院起诉。</w:t>
      </w:r>
    </w:p>
    <w:p w14:paraId="3C021BA7">
      <w:pPr>
        <w:pageBreakBefore w:val="0"/>
        <w:widowControl w:val="0"/>
        <w:kinsoku/>
        <w:wordWrap/>
        <w:overflowPunct/>
        <w:topLinePunct w:val="0"/>
        <w:bidi w:val="0"/>
        <w:snapToGrid/>
        <w:spacing w:line="40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21.</w:t>
      </w:r>
      <w:r>
        <w:rPr>
          <w:rFonts w:hint="eastAsia" w:ascii="宋体" w:hAnsi="宋体" w:eastAsia="宋体" w:cs="宋体"/>
          <w:b/>
          <w:bCs/>
          <w:color w:val="auto"/>
          <w:sz w:val="21"/>
          <w:szCs w:val="21"/>
          <w:highlight w:val="none"/>
        </w:rPr>
        <w:t>补充条款</w:t>
      </w:r>
    </w:p>
    <w:bookmarkEnd w:id="71"/>
    <w:bookmarkEnd w:id="72"/>
    <w:p w14:paraId="2A828528">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1）工程开工日期以甲方开工令为准。</w:t>
      </w:r>
    </w:p>
    <w:p w14:paraId="3C7F6DC2">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2）竣工日期以竣工验收证明上载明的时间为准。</w:t>
      </w:r>
    </w:p>
    <w:p w14:paraId="43731212">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3）乙方应按相关规定及甲方要求自行完成档案资料的制作，并及时整理、送达竣工资料。</w:t>
      </w:r>
    </w:p>
    <w:p w14:paraId="6FC5F62C">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4）本工程竣工验收合格交付时必须做到工完场清，确保整洁、卫生。</w:t>
      </w:r>
    </w:p>
    <w:p w14:paraId="35EBBA11">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14:paraId="7B2AED30">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6）乙方须服从甲方公司的现场管理制度及处罚规定，服从甲方现场的管理人员、甲方、建装中心、规财科、监理等部门的管理。</w:t>
      </w:r>
    </w:p>
    <w:p w14:paraId="3E6557FB">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643" w:name="EB80009068e42d491b96b22fec4208d62f"/>
    </w:p>
    <w:p w14:paraId="668D1730">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8）工程施工过程中所有需要在合同价外另行增加的内容，乙方必须无条件服从甲方安排，不得以任何理由拖延施工；所涉及费用在竣工结算时由审计确认。</w:t>
      </w:r>
    </w:p>
    <w:p w14:paraId="2B378E03">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9）所有涉及工程过程质量（材料）验收、结算签证等相关手续、资料的报验必须按照学校、监理或者相关规定执行。</w:t>
      </w:r>
      <w:bookmarkEnd w:id="643"/>
    </w:p>
    <w:p w14:paraId="6D19BBBC">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10）承发包双方应严格按照《</w:t>
      </w:r>
      <w:r>
        <w:rPr>
          <w:rFonts w:hint="eastAsia" w:ascii="宋体" w:hAnsi="宋体" w:eastAsia="宋体" w:cs="宋体"/>
          <w:color w:val="auto"/>
          <w:kern w:val="0"/>
          <w:sz w:val="21"/>
          <w:szCs w:val="21"/>
          <w:highlight w:val="none"/>
          <w:u w:val="single"/>
          <w:lang w:eastAsia="zh-CN"/>
        </w:rPr>
        <w:t>中华人民共和国大气污染防治法》《</w:t>
      </w:r>
      <w:r>
        <w:rPr>
          <w:rFonts w:hint="eastAsia" w:ascii="宋体" w:hAnsi="宋体" w:eastAsia="宋体" w:cs="宋体"/>
          <w:color w:val="auto"/>
          <w:kern w:val="0"/>
          <w:sz w:val="21"/>
          <w:szCs w:val="21"/>
          <w:highlight w:val="none"/>
          <w:u w:val="single"/>
        </w:rPr>
        <w:t>江苏省大气污染防治条例</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u w:val="single"/>
        </w:rPr>
        <w:t>建筑工地扬尘防治标准》（DGJ32/J203-2016）、《常州市建筑施工扬尘防治实施细则》（常建〔2018〕113号）、《关于加强全市建筑领域非道路移动工程机械污染防治工作的通知》（常建〔2018〕132号）等要求，按各自职责，将防治措施落实到位。</w:t>
      </w:r>
    </w:p>
    <w:p w14:paraId="307FD1FD">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11）施工过程中扬尘、噪音控制等需符合相关文件规定，如被相关部门查处并通报，除按规定处罚以外还需向采购人支付2万元/次的违约金。</w:t>
      </w:r>
    </w:p>
    <w:p w14:paraId="1104BDF8">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12）建筑垃圾处理执行《常州市金坛区建筑垃圾收集运输和处置管理规定》（详见坛政规</w:t>
      </w:r>
      <w:r>
        <w:rPr>
          <w:rFonts w:hint="eastAsia" w:ascii="宋体" w:hAnsi="宋体" w:eastAsia="宋体" w:cs="宋体"/>
          <w:color w:val="auto"/>
          <w:kern w:val="0"/>
          <w:sz w:val="21"/>
          <w:szCs w:val="21"/>
          <w:highlight w:val="none"/>
          <w:u w:val="single"/>
          <w:lang w:eastAsia="zh-CN"/>
        </w:rPr>
        <w:t>〔2024〕3号</w:t>
      </w:r>
      <w:r>
        <w:rPr>
          <w:rFonts w:hint="eastAsia" w:ascii="宋体" w:hAnsi="宋体" w:eastAsia="宋体" w:cs="宋体"/>
          <w:color w:val="auto"/>
          <w:kern w:val="0"/>
          <w:sz w:val="21"/>
          <w:szCs w:val="21"/>
          <w:highlight w:val="none"/>
          <w:u w:val="single"/>
        </w:rPr>
        <w:t>文）。 施工现场建筑垃圾管理的相关措施须符合《关于进一步加强建筑垃圾管理工作的实施方案》（常政办发〔2024〕17号）文件要求执行。</w:t>
      </w:r>
    </w:p>
    <w:p w14:paraId="07F28465">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lang w:val="en-US" w:eastAsia="zh-CN"/>
        </w:rPr>
        <w:t>13</w:t>
      </w:r>
      <w:r>
        <w:rPr>
          <w:rFonts w:hint="eastAsia" w:ascii="宋体" w:hAnsi="宋体" w:eastAsia="宋体" w:cs="宋体"/>
          <w:color w:val="auto"/>
          <w:kern w:val="0"/>
          <w:sz w:val="21"/>
          <w:szCs w:val="21"/>
          <w:highlight w:val="none"/>
          <w:u w:val="single"/>
        </w:rPr>
        <w:t>）其他未尽事项，双方另行协商决定。</w:t>
      </w:r>
    </w:p>
    <w:p w14:paraId="15CF3C4B">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w:t>
      </w:r>
    </w:p>
    <w:p w14:paraId="6484A76E">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color w:val="auto"/>
          <w:kern w:val="0"/>
          <w:sz w:val="21"/>
          <w:szCs w:val="21"/>
          <w:highlight w:val="none"/>
        </w:rPr>
        <w:sectPr>
          <w:footerReference r:id="rId8" w:type="first"/>
          <w:footerReference r:id="rId7" w:type="default"/>
          <w:pgSz w:w="11907" w:h="16840"/>
          <w:pgMar w:top="1440" w:right="1080" w:bottom="1440" w:left="1080" w:header="567" w:footer="567" w:gutter="0"/>
          <w:pgBorders w:offsetFrom="page">
            <w:top w:val="none" w:sz="0" w:space="0"/>
            <w:left w:val="none" w:sz="0" w:space="0"/>
            <w:bottom w:val="none" w:sz="0" w:space="0"/>
            <w:right w:val="none" w:sz="0" w:space="0"/>
          </w:pgBorders>
          <w:pgNumType w:start="1"/>
          <w:cols w:space="720" w:num="1"/>
          <w:titlePg/>
          <w:docGrid w:linePitch="272" w:charSpace="0"/>
        </w:sectPr>
      </w:pPr>
    </w:p>
    <w:p w14:paraId="16EADF11">
      <w:pPr>
        <w:spacing w:line="340" w:lineRule="exact"/>
        <w:jc w:val="center"/>
        <w:rPr>
          <w:rFonts w:hint="eastAsia" w:ascii="宋体" w:hAnsi="宋体" w:eastAsia="宋体" w:cs="宋体"/>
          <w:szCs w:val="21"/>
        </w:rPr>
      </w:pPr>
      <w:r>
        <w:rPr>
          <w:rFonts w:hint="eastAsia" w:ascii="宋体" w:hAnsi="宋体" w:eastAsia="宋体" w:cs="宋体"/>
          <w:b/>
          <w:bCs/>
          <w:sz w:val="28"/>
          <w:szCs w:val="28"/>
        </w:rPr>
        <w:t>工程质量保修书</w:t>
      </w:r>
    </w:p>
    <w:p w14:paraId="0974D8F9">
      <w:pPr>
        <w:keepNext w:val="0"/>
        <w:keepLines w:val="0"/>
        <w:pageBreakBefore w:val="0"/>
        <w:widowControl w:val="0"/>
        <w:kinsoku/>
        <w:wordWrap/>
        <w:overflowPunct/>
        <w:topLinePunct w:val="0"/>
        <w:autoSpaceDE/>
        <w:autoSpaceDN/>
        <w:bidi w:val="0"/>
        <w:spacing w:line="360" w:lineRule="exact"/>
        <w:ind w:firstLine="630" w:firstLineChars="300"/>
        <w:textAlignment w:val="auto"/>
        <w:rPr>
          <w:rFonts w:hint="eastAsia" w:ascii="宋体" w:hAnsi="宋体" w:eastAsia="宋体" w:cs="宋体"/>
          <w:szCs w:val="21"/>
        </w:rPr>
      </w:pPr>
      <w:r>
        <w:rPr>
          <w:rFonts w:hint="eastAsia" w:ascii="宋体" w:hAnsi="宋体" w:eastAsia="宋体" w:cs="宋体"/>
          <w:szCs w:val="21"/>
        </w:rPr>
        <w:t>甲方：</w:t>
      </w:r>
    </w:p>
    <w:p w14:paraId="4A4372BB">
      <w:pPr>
        <w:keepNext w:val="0"/>
        <w:keepLines w:val="0"/>
        <w:pageBreakBefore w:val="0"/>
        <w:widowControl w:val="0"/>
        <w:kinsoku/>
        <w:wordWrap/>
        <w:overflowPunct/>
        <w:topLinePunct w:val="0"/>
        <w:autoSpaceDE/>
        <w:autoSpaceDN/>
        <w:bidi w:val="0"/>
        <w:spacing w:line="360" w:lineRule="exact"/>
        <w:ind w:firstLine="630" w:firstLineChars="300"/>
        <w:textAlignment w:val="auto"/>
        <w:rPr>
          <w:rFonts w:ascii="宋体" w:hAnsi="宋体" w:eastAsia="宋体" w:cs="宋体"/>
          <w:szCs w:val="21"/>
        </w:rPr>
      </w:pPr>
      <w:r>
        <w:rPr>
          <w:rFonts w:hint="eastAsia" w:ascii="宋体" w:hAnsi="宋体" w:eastAsia="宋体" w:cs="宋体"/>
          <w:szCs w:val="21"/>
        </w:rPr>
        <w:t xml:space="preserve">乙方： </w:t>
      </w:r>
    </w:p>
    <w:p w14:paraId="04DA6AED">
      <w:pPr>
        <w:keepNext w:val="0"/>
        <w:keepLines w:val="0"/>
        <w:pageBreakBefore w:val="0"/>
        <w:widowControl w:val="0"/>
        <w:kinsoku/>
        <w:wordWrap/>
        <w:overflowPunct/>
        <w:topLinePunct w:val="0"/>
        <w:autoSpaceDE/>
        <w:autoSpaceDN/>
        <w:bidi w:val="0"/>
        <w:spacing w:line="360" w:lineRule="exact"/>
        <w:ind w:left="280" w:firstLine="290"/>
        <w:textAlignment w:val="auto"/>
        <w:rPr>
          <w:rFonts w:ascii="宋体" w:hAnsi="宋体" w:eastAsia="宋体" w:cs="宋体"/>
          <w:szCs w:val="21"/>
        </w:rPr>
      </w:pPr>
      <w:r>
        <w:rPr>
          <w:rFonts w:hint="eastAsia" w:ascii="宋体" w:hAnsi="宋体" w:eastAsia="宋体" w:cs="宋体"/>
          <w:szCs w:val="21"/>
        </w:rPr>
        <w:t>为保证</w:t>
      </w:r>
      <w:r>
        <w:rPr>
          <w:rFonts w:hint="eastAsia" w:ascii="宋体" w:hAnsi="宋体" w:eastAsia="宋体" w:cs="宋体"/>
          <w:b w:val="0"/>
          <w:bCs/>
          <w:sz w:val="21"/>
          <w:szCs w:val="21"/>
          <w:u w:val="single"/>
          <w:lang w:eastAsia="zh-CN"/>
        </w:rPr>
        <w:t>常州市金坛区河滨小学教室门更换出新</w:t>
      </w:r>
      <w:r>
        <w:rPr>
          <w:rFonts w:hint="eastAsia" w:ascii="宋体" w:hAnsi="宋体" w:eastAsia="宋体" w:cs="宋体"/>
          <w:szCs w:val="21"/>
        </w:rPr>
        <w:t>（工程名称）在合理使用期限内正常使用，甲</w:t>
      </w:r>
      <w:r>
        <w:rPr>
          <w:rFonts w:hint="eastAsia" w:ascii="宋体" w:hAnsi="宋体" w:eastAsia="宋体" w:cs="宋体"/>
          <w:szCs w:val="21"/>
          <w:lang w:eastAsia="zh-CN"/>
        </w:rPr>
        <w:t>方与</w:t>
      </w:r>
      <w:r>
        <w:rPr>
          <w:rFonts w:hint="eastAsia" w:ascii="宋体" w:hAnsi="宋体" w:eastAsia="宋体" w:cs="宋体"/>
          <w:szCs w:val="21"/>
        </w:rPr>
        <w:t>乙方协商一致签订工程质量保修书。乙方在质量保修期内按照有关管理规定及双方约定承担工程质量保修责任。</w:t>
      </w:r>
    </w:p>
    <w:p w14:paraId="5CD836CA">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一、工程质量保修范围和内容</w:t>
      </w:r>
    </w:p>
    <w:p w14:paraId="02EA26D9">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14:paraId="4C09723B">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b/>
          <w:bCs/>
          <w:szCs w:val="21"/>
        </w:rPr>
        <w:t>二、质量保修期</w:t>
      </w:r>
    </w:p>
    <w:p w14:paraId="171CE178">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14:paraId="6350E970">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14:paraId="58D05240">
      <w:pPr>
        <w:keepNext w:val="0"/>
        <w:keepLines w:val="0"/>
        <w:pageBreakBefore w:val="0"/>
        <w:widowControl w:val="0"/>
        <w:numPr>
          <w:ilvl w:val="0"/>
          <w:numId w:val="3"/>
        </w:numPr>
        <w:kinsoku/>
        <w:wordWrap/>
        <w:overflowPunct/>
        <w:topLinePunct w:val="0"/>
        <w:autoSpaceDE/>
        <w:autoSpaceDN/>
        <w:bidi w:val="0"/>
        <w:spacing w:line="36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szCs w:val="21"/>
          <w:u w:val="single"/>
          <w:lang w:val="en-US" w:eastAsia="zh-CN"/>
        </w:rPr>
        <w:t xml:space="preserve"> </w:t>
      </w:r>
      <w:r>
        <w:rPr>
          <w:rFonts w:hint="eastAsia" w:ascii="宋体" w:hAnsi="宋体" w:eastAsia="宋体" w:cs="宋体"/>
          <w:b/>
          <w:bCs/>
          <w:szCs w:val="21"/>
          <w:u w:val="single"/>
        </w:rPr>
        <w:t>合理使用</w:t>
      </w:r>
      <w:r>
        <w:rPr>
          <w:rFonts w:hint="eastAsia" w:ascii="宋体" w:hAnsi="宋体" w:eastAsia="宋体" w:cs="宋体"/>
          <w:b/>
          <w:bCs/>
          <w:szCs w:val="21"/>
          <w:u w:val="single"/>
          <w:lang w:val="en-US" w:eastAsia="zh-CN"/>
        </w:rPr>
        <w:t xml:space="preserve"> </w:t>
      </w:r>
      <w:r>
        <w:rPr>
          <w:rFonts w:hint="eastAsia" w:ascii="宋体" w:hAnsi="宋体" w:eastAsia="宋体" w:cs="宋体"/>
          <w:szCs w:val="21"/>
        </w:rPr>
        <w:t>年，屋面防水、墙面、厨房、卫生间渗漏为</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5</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年； </w:t>
      </w:r>
    </w:p>
    <w:p w14:paraId="349A556C">
      <w:pPr>
        <w:keepNext w:val="0"/>
        <w:keepLines w:val="0"/>
        <w:pageBreakBefore w:val="0"/>
        <w:widowControl w:val="0"/>
        <w:numPr>
          <w:ilvl w:val="0"/>
          <w:numId w:val="3"/>
        </w:numPr>
        <w:kinsoku/>
        <w:wordWrap/>
        <w:overflowPunct/>
        <w:topLinePunct w:val="0"/>
        <w:autoSpaceDE/>
        <w:autoSpaceDN/>
        <w:bidi w:val="0"/>
        <w:spacing w:line="36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14:paraId="1158A945">
      <w:pPr>
        <w:keepNext w:val="0"/>
        <w:keepLines w:val="0"/>
        <w:pageBreakBefore w:val="0"/>
        <w:widowControl w:val="0"/>
        <w:kinsoku/>
        <w:wordWrap/>
        <w:overflowPunct/>
        <w:topLinePunct w:val="0"/>
        <w:autoSpaceDE/>
        <w:autoSpaceDN/>
        <w:bidi w:val="0"/>
        <w:spacing w:line="36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2</w:t>
      </w:r>
      <w:r>
        <w:rPr>
          <w:rFonts w:hint="eastAsia" w:ascii="宋体" w:hAnsi="宋体" w:eastAsia="宋体" w:cs="宋体"/>
          <w:szCs w:val="21"/>
        </w:rPr>
        <w:t>个采暖期及制冷期；</w:t>
      </w:r>
    </w:p>
    <w:p w14:paraId="6F0A861F">
      <w:pPr>
        <w:keepNext w:val="0"/>
        <w:keepLines w:val="0"/>
        <w:pageBreakBefore w:val="0"/>
        <w:widowControl w:val="0"/>
        <w:kinsoku/>
        <w:wordWrap/>
        <w:overflowPunct/>
        <w:topLinePunct w:val="0"/>
        <w:autoSpaceDE/>
        <w:autoSpaceDN/>
        <w:bidi w:val="0"/>
        <w:spacing w:line="36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rPr>
        <w:t>4、室外的上下水和小区</w:t>
      </w:r>
      <w:r>
        <w:rPr>
          <w:rFonts w:hint="eastAsia" w:ascii="宋体" w:hAnsi="宋体" w:eastAsia="宋体" w:cs="宋体"/>
          <w:szCs w:val="21"/>
          <w:highlight w:val="none"/>
        </w:rPr>
        <w:t>道路等市政公用工程为</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highlight w:val="none"/>
        </w:rPr>
        <w:t>年；</w:t>
      </w:r>
    </w:p>
    <w:p w14:paraId="0719EC63">
      <w:pPr>
        <w:keepNext w:val="0"/>
        <w:keepLines w:val="0"/>
        <w:pageBreakBefore w:val="0"/>
        <w:widowControl w:val="0"/>
        <w:kinsoku/>
        <w:wordWrap/>
        <w:overflowPunct/>
        <w:topLinePunct w:val="0"/>
        <w:autoSpaceDE/>
        <w:autoSpaceDN/>
        <w:bidi w:val="0"/>
        <w:spacing w:line="360" w:lineRule="exact"/>
        <w:ind w:firstLine="420" w:firstLineChars="200"/>
        <w:textAlignment w:val="auto"/>
        <w:rPr>
          <w:rFonts w:ascii="宋体" w:hAnsi="宋体" w:eastAsia="宋体" w:cs="宋体"/>
          <w:szCs w:val="21"/>
          <w:highlight w:val="none"/>
        </w:rPr>
      </w:pPr>
      <w:r>
        <w:rPr>
          <w:rFonts w:hint="eastAsia" w:ascii="宋体" w:hAnsi="宋体" w:eastAsia="宋体" w:cs="宋体"/>
          <w:szCs w:val="21"/>
          <w:highlight w:val="none"/>
        </w:rPr>
        <w:t>5、其他约定：</w:t>
      </w:r>
      <w:r>
        <w:rPr>
          <w:rFonts w:hint="eastAsia" w:ascii="宋体" w:hAnsi="宋体" w:eastAsia="宋体" w:cs="宋体"/>
          <w:szCs w:val="21"/>
          <w:highlight w:val="none"/>
          <w:u w:val="none"/>
        </w:rPr>
        <w:t>本工程质量保修期</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highlight w:val="none"/>
          <w:u w:val="none"/>
        </w:rPr>
        <w:t>年</w:t>
      </w:r>
      <w:r>
        <w:rPr>
          <w:rFonts w:hint="eastAsia" w:ascii="宋体" w:hAnsi="宋体" w:eastAsia="宋体" w:cs="宋体"/>
          <w:b/>
          <w:bCs/>
          <w:szCs w:val="21"/>
          <w:highlight w:val="none"/>
          <w:u w:val="none"/>
        </w:rPr>
        <w:t xml:space="preserve">。       </w:t>
      </w:r>
      <w:r>
        <w:rPr>
          <w:rFonts w:hint="eastAsia" w:ascii="宋体" w:hAnsi="宋体" w:eastAsia="宋体" w:cs="宋体"/>
          <w:szCs w:val="21"/>
          <w:highlight w:val="none"/>
          <w:u w:val="none"/>
        </w:rPr>
        <w:t xml:space="preserve">  </w:t>
      </w:r>
      <w:r>
        <w:rPr>
          <w:rFonts w:hint="eastAsia" w:ascii="宋体" w:hAnsi="宋体" w:eastAsia="宋体" w:cs="宋体"/>
          <w:szCs w:val="21"/>
          <w:highlight w:val="none"/>
        </w:rPr>
        <w:t xml:space="preserve">                                     </w:t>
      </w:r>
    </w:p>
    <w:p w14:paraId="4C2F2EC7">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b/>
          <w:bCs/>
          <w:szCs w:val="21"/>
          <w:highlight w:val="none"/>
        </w:rPr>
        <w:t>三、质量保修责任</w:t>
      </w:r>
    </w:p>
    <w:p w14:paraId="52289F3F">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highlight w:val="none"/>
        </w:rPr>
        <w:t xml:space="preserve">    l、属于保修范围和内容的项目，乙方应在接到修</w:t>
      </w:r>
      <w:r>
        <w:rPr>
          <w:rFonts w:hint="eastAsia" w:ascii="宋体" w:hAnsi="宋体" w:eastAsia="宋体" w:cs="宋体"/>
          <w:szCs w:val="21"/>
        </w:rPr>
        <w:t>理通知之日后7天内派人修理。乙方不在约定期限内派人修理，甲方可委托其他人员修理，保修费用从质量保修金内扣除。</w:t>
      </w:r>
    </w:p>
    <w:p w14:paraId="31871068">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14:paraId="0C4E6FEE">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14:paraId="562B9577">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b/>
          <w:bCs/>
          <w:szCs w:val="21"/>
        </w:rPr>
        <w:t>四、质量保修金的支付</w:t>
      </w:r>
    </w:p>
    <w:p w14:paraId="4F938A81">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14:paraId="0BA525D9">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b/>
          <w:bCs/>
          <w:szCs w:val="21"/>
        </w:rPr>
        <w:t>五、质量保修金的返还</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14:paraId="74DF2DB0">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b/>
          <w:bCs/>
          <w:szCs w:val="21"/>
        </w:rPr>
        <w:t>六、其他</w:t>
      </w:r>
    </w:p>
    <w:p w14:paraId="6DFEE488">
      <w:pPr>
        <w:keepNext w:val="0"/>
        <w:keepLines w:val="0"/>
        <w:pageBreakBefore w:val="0"/>
        <w:widowControl w:val="0"/>
        <w:kinsoku/>
        <w:wordWrap/>
        <w:overflowPunct/>
        <w:topLinePunct w:val="0"/>
        <w:autoSpaceDE/>
        <w:autoSpaceDN/>
        <w:bidi w:val="0"/>
        <w:spacing w:line="360" w:lineRule="exact"/>
        <w:textAlignment w:val="auto"/>
        <w:rPr>
          <w:rFonts w:ascii="宋体" w:hAnsi="宋体" w:eastAsia="宋体" w:cs="宋体"/>
          <w:szCs w:val="21"/>
          <w:u w:val="single"/>
        </w:rPr>
      </w:pP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14:paraId="0741847C">
      <w:pPr>
        <w:keepNext w:val="0"/>
        <w:keepLines w:val="0"/>
        <w:pageBreakBefore w:val="0"/>
        <w:widowControl w:val="0"/>
        <w:kinsoku/>
        <w:wordWrap/>
        <w:overflowPunct/>
        <w:topLinePunct w:val="0"/>
        <w:autoSpaceDE/>
        <w:autoSpaceDN/>
        <w:bidi w:val="0"/>
        <w:spacing w:line="360" w:lineRule="exact"/>
        <w:ind w:firstLine="570"/>
        <w:textAlignment w:val="auto"/>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14:paraId="449527E4">
      <w:pPr>
        <w:keepNext w:val="0"/>
        <w:keepLines w:val="0"/>
        <w:pageBreakBefore w:val="0"/>
        <w:widowControl w:val="0"/>
        <w:kinsoku/>
        <w:wordWrap/>
        <w:overflowPunct/>
        <w:topLinePunct w:val="0"/>
        <w:autoSpaceDE/>
        <w:autoSpaceDN/>
        <w:bidi w:val="0"/>
        <w:spacing w:line="360" w:lineRule="exact"/>
        <w:ind w:right="340"/>
        <w:textAlignment w:val="auto"/>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14:paraId="2EF16CBE">
      <w:pPr>
        <w:keepNext w:val="0"/>
        <w:keepLines w:val="0"/>
        <w:pageBreakBefore w:val="0"/>
        <w:widowControl w:val="0"/>
        <w:kinsoku/>
        <w:wordWrap/>
        <w:overflowPunct/>
        <w:topLinePunct w:val="0"/>
        <w:autoSpaceDE/>
        <w:autoSpaceDN/>
        <w:bidi w:val="0"/>
        <w:spacing w:line="360" w:lineRule="exact"/>
        <w:ind w:right="340" w:firstLine="210" w:firstLineChars="100"/>
        <w:textAlignment w:val="auto"/>
        <w:rPr>
          <w:rFonts w:ascii="宋体" w:hAnsi="宋体" w:eastAsia="宋体" w:cs="宋体"/>
          <w:szCs w:val="21"/>
        </w:rPr>
      </w:pPr>
      <w:r>
        <w:rPr>
          <w:rFonts w:hint="eastAsia" w:ascii="宋体" w:hAnsi="宋体" w:eastAsia="宋体" w:cs="宋体"/>
          <w:szCs w:val="21"/>
        </w:rPr>
        <w:t>甲       方</w:t>
      </w:r>
      <w:r>
        <w:rPr>
          <w:rFonts w:hint="eastAsia" w:ascii="宋体" w:hAnsi="宋体" w:eastAsia="宋体" w:cs="宋体"/>
          <w:szCs w:val="21"/>
          <w:lang w:eastAsia="zh-CN"/>
        </w:rPr>
        <w:t>（</w:t>
      </w:r>
      <w:r>
        <w:rPr>
          <w:rFonts w:hint="eastAsia" w:ascii="宋体" w:hAnsi="宋体" w:eastAsia="宋体" w:cs="宋体"/>
          <w:szCs w:val="21"/>
        </w:rPr>
        <w:t xml:space="preserve">公章)：            </w:t>
      </w:r>
      <w:r>
        <w:rPr>
          <w:rFonts w:hint="eastAsia" w:ascii="宋体" w:hAnsi="宋体" w:eastAsia="宋体" w:cs="宋体"/>
          <w:szCs w:val="21"/>
          <w:lang w:val="en-US" w:eastAsia="zh-CN"/>
        </w:rPr>
        <w:t xml:space="preserve">        </w:t>
      </w:r>
      <w:r>
        <w:rPr>
          <w:rFonts w:hint="eastAsia" w:ascii="宋体" w:hAnsi="宋体" w:eastAsia="宋体" w:cs="宋体"/>
          <w:szCs w:val="21"/>
        </w:rPr>
        <w:t>乙      方(公章)：</w:t>
      </w:r>
    </w:p>
    <w:p w14:paraId="59FD793A">
      <w:pPr>
        <w:keepNext w:val="0"/>
        <w:keepLines w:val="0"/>
        <w:pageBreakBefore w:val="0"/>
        <w:widowControl w:val="0"/>
        <w:kinsoku/>
        <w:wordWrap/>
        <w:overflowPunct/>
        <w:topLinePunct w:val="0"/>
        <w:autoSpaceDE/>
        <w:autoSpaceDN/>
        <w:bidi w:val="0"/>
        <w:adjustRightInd w:val="0"/>
        <w:snapToGrid w:val="0"/>
        <w:spacing w:line="360" w:lineRule="exact"/>
        <w:ind w:firstLine="210" w:firstLineChars="100"/>
        <w:textAlignment w:val="auto"/>
        <w:rPr>
          <w:rFonts w:ascii="宋体" w:hAnsi="宋体" w:eastAsia="宋体" w:cs="宋体"/>
          <w:szCs w:val="21"/>
        </w:rPr>
      </w:pPr>
      <w:r>
        <w:rPr>
          <w:rFonts w:hint="eastAsia" w:ascii="宋体" w:hAnsi="宋体" w:eastAsia="宋体" w:cs="宋体"/>
          <w:szCs w:val="21"/>
        </w:rPr>
        <w:t>法定代表人(签字</w:t>
      </w:r>
      <w:r>
        <w:rPr>
          <w:rFonts w:hint="eastAsia" w:ascii="宋体" w:hAnsi="宋体" w:eastAsia="宋体" w:cs="宋体"/>
          <w:szCs w:val="21"/>
          <w:lang w:val="en-US" w:eastAsia="zh-CN"/>
        </w:rPr>
        <w:t>或盖章</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法定代表人(签字</w:t>
      </w:r>
      <w:r>
        <w:rPr>
          <w:rFonts w:hint="eastAsia" w:ascii="宋体" w:hAnsi="宋体" w:eastAsia="宋体" w:cs="宋体"/>
          <w:szCs w:val="21"/>
          <w:lang w:val="en-US" w:eastAsia="zh-CN"/>
        </w:rPr>
        <w:t>或盖章</w:t>
      </w:r>
      <w:r>
        <w:rPr>
          <w:rFonts w:hint="eastAsia" w:ascii="宋体" w:hAnsi="宋体" w:eastAsia="宋体" w:cs="宋体"/>
          <w:szCs w:val="21"/>
        </w:rPr>
        <w:t>)：</w:t>
      </w:r>
    </w:p>
    <w:p w14:paraId="61C8A456">
      <w:pPr>
        <w:keepNext w:val="0"/>
        <w:keepLines w:val="0"/>
        <w:pageBreakBefore w:val="0"/>
        <w:widowControl w:val="0"/>
        <w:kinsoku/>
        <w:wordWrap/>
        <w:overflowPunct/>
        <w:topLinePunct w:val="0"/>
        <w:autoSpaceDE/>
        <w:autoSpaceDN/>
        <w:bidi w:val="0"/>
        <w:adjustRightInd w:val="0"/>
        <w:snapToGrid w:val="0"/>
        <w:spacing w:line="360" w:lineRule="exact"/>
        <w:ind w:firstLine="840" w:firstLineChars="400"/>
        <w:textAlignment w:val="auto"/>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eastAsia="宋体" w:cs="宋体"/>
          <w:szCs w:val="21"/>
          <w:lang w:val="en-US" w:eastAsia="zh-CN"/>
        </w:rPr>
        <w:t xml:space="preserve">     </w:t>
      </w:r>
      <w:r>
        <w:rPr>
          <w:rFonts w:hint="eastAsia" w:ascii="宋体" w:hAnsi="宋体" w:eastAsia="宋体" w:cs="宋体"/>
          <w:szCs w:val="21"/>
        </w:rPr>
        <w:t>年    月    日</w:t>
      </w:r>
    </w:p>
    <w:p w14:paraId="15E452A4">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14:paraId="1C63E0D3">
      <w:pPr>
        <w:adjustRightInd w:val="0"/>
        <w:snapToGrid w:val="0"/>
        <w:spacing w:line="340" w:lineRule="exact"/>
        <w:ind w:firstLine="903" w:firstLineChars="430"/>
        <w:rPr>
          <w:rFonts w:ascii="宋体" w:hAnsi="宋体" w:eastAsia="宋体" w:cs="宋体"/>
          <w:szCs w:val="21"/>
        </w:rPr>
      </w:pPr>
    </w:p>
    <w:p w14:paraId="6097A94E">
      <w:pPr>
        <w:adjustRightInd w:val="0"/>
        <w:snapToGrid w:val="0"/>
        <w:spacing w:line="340" w:lineRule="exact"/>
        <w:ind w:firstLine="903" w:firstLineChars="430"/>
        <w:rPr>
          <w:rFonts w:ascii="宋体" w:hAnsi="宋体" w:eastAsia="宋体" w:cs="宋体"/>
          <w:szCs w:val="21"/>
        </w:rPr>
      </w:pPr>
    </w:p>
    <w:p w14:paraId="1630A8B7">
      <w:pPr>
        <w:adjustRightInd w:val="0"/>
        <w:snapToGrid w:val="0"/>
        <w:spacing w:line="340" w:lineRule="exact"/>
        <w:ind w:firstLine="903" w:firstLineChars="430"/>
        <w:rPr>
          <w:rFonts w:ascii="宋体" w:hAnsi="宋体" w:eastAsia="宋体" w:cs="宋体"/>
          <w:szCs w:val="21"/>
        </w:rPr>
      </w:pPr>
    </w:p>
    <w:p w14:paraId="5687D6FE">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p>
    <w:p w14:paraId="45EB9401">
      <w:pPr>
        <w:spacing w:line="340" w:lineRule="exact"/>
        <w:jc w:val="center"/>
        <w:rPr>
          <w:rFonts w:hint="eastAsia" w:ascii="宋体" w:hAnsi="宋体" w:eastAsia="宋体" w:cs="宋体"/>
          <w:b/>
          <w:bCs/>
          <w:sz w:val="28"/>
          <w:szCs w:val="28"/>
        </w:rPr>
      </w:pPr>
      <w:r>
        <w:rPr>
          <w:rFonts w:hint="eastAsia" w:ascii="宋体" w:hAnsi="宋体" w:eastAsia="宋体" w:cs="宋体"/>
          <w:b/>
          <w:bCs/>
          <w:sz w:val="28"/>
          <w:szCs w:val="28"/>
        </w:rPr>
        <w:t>工程安全生产合同</w:t>
      </w:r>
    </w:p>
    <w:p w14:paraId="631EB0EA">
      <w:pPr>
        <w:pStyle w:val="2"/>
        <w:rPr>
          <w:rFonts w:hint="eastAsia"/>
        </w:rPr>
      </w:pPr>
    </w:p>
    <w:p w14:paraId="5BC71933">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发包人：</w:t>
      </w:r>
      <w:r>
        <w:rPr>
          <w:rFonts w:hint="eastAsia" w:ascii="宋体" w:hAnsi="宋体" w:eastAsia="宋体" w:cs="宋体"/>
          <w:szCs w:val="21"/>
          <w:u w:val="single"/>
        </w:rPr>
        <w:t xml:space="preserve">                         </w:t>
      </w:r>
      <w:r>
        <w:rPr>
          <w:rFonts w:hint="eastAsia" w:ascii="宋体" w:hAnsi="宋体" w:eastAsia="宋体" w:cs="宋体"/>
          <w:szCs w:val="21"/>
        </w:rPr>
        <w:t>（以下简称“甲方”）</w:t>
      </w:r>
    </w:p>
    <w:p w14:paraId="30A1CC0D">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承包人：</w:t>
      </w:r>
      <w:r>
        <w:rPr>
          <w:rFonts w:hint="eastAsia" w:ascii="宋体" w:hAnsi="宋体" w:eastAsia="宋体" w:cs="宋体"/>
          <w:szCs w:val="21"/>
          <w:u w:val="single"/>
        </w:rPr>
        <w:t xml:space="preserve">                         </w:t>
      </w:r>
      <w:r>
        <w:rPr>
          <w:rFonts w:hint="eastAsia" w:ascii="宋体" w:hAnsi="宋体" w:eastAsia="宋体" w:cs="宋体"/>
          <w:szCs w:val="21"/>
        </w:rPr>
        <w:t>（以下简称“乙方”）</w:t>
      </w:r>
    </w:p>
    <w:p w14:paraId="1A324FD4">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为在施工合同的实施过程中创造安全、高效的施工环境，切实搞好本项目的安全管理工作，项目实施过程中达到“零责任事故，无人员重伤、无人员死亡事故”的安全目标，特此签订安全生产合同。具体如下：</w:t>
      </w:r>
    </w:p>
    <w:p w14:paraId="3130E0BA">
      <w:pPr>
        <w:spacing w:line="360" w:lineRule="auto"/>
        <w:ind w:left="105" w:leftChars="50" w:firstLine="432" w:firstLineChars="205"/>
        <w:rPr>
          <w:rFonts w:ascii="宋体" w:hAnsi="宋体" w:eastAsia="宋体" w:cs="宋体"/>
          <w:b/>
          <w:bCs/>
          <w:szCs w:val="21"/>
        </w:rPr>
      </w:pPr>
      <w:r>
        <w:rPr>
          <w:rFonts w:hint="eastAsia" w:ascii="宋体" w:hAnsi="宋体" w:eastAsia="宋体" w:cs="宋体"/>
          <w:b/>
          <w:bCs/>
          <w:szCs w:val="21"/>
        </w:rPr>
        <w:t>一、甲方职责</w:t>
      </w:r>
    </w:p>
    <w:p w14:paraId="7068A27F">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1．严格遵守国家有关安全生产的法律法规，认真执行工程承包合同中的有关安全要求。</w:t>
      </w:r>
    </w:p>
    <w:p w14:paraId="0858DC8A">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2．按照“安全第一、预防为主”和坚持“管生产必需管安全”的原则进行安全生产管理，做到生产与安全工作同时计划、布置、检查、总结和评比。</w:t>
      </w:r>
    </w:p>
    <w:p w14:paraId="25FDC6F8">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3．传达中央及地方有关安全生产的精神。</w:t>
      </w:r>
    </w:p>
    <w:p w14:paraId="5031F46D">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4．组织对乙方施工现场安全生产检查，监督乙方及时处理发现的各种安全隐患。</w:t>
      </w:r>
    </w:p>
    <w:p w14:paraId="4C5E9983">
      <w:pPr>
        <w:spacing w:line="360" w:lineRule="auto"/>
        <w:ind w:left="105" w:leftChars="50" w:firstLine="432" w:firstLineChars="205"/>
        <w:rPr>
          <w:rFonts w:ascii="宋体" w:hAnsi="宋体" w:eastAsia="宋体" w:cs="宋体"/>
          <w:b/>
          <w:bCs/>
          <w:szCs w:val="21"/>
        </w:rPr>
      </w:pPr>
      <w:r>
        <w:rPr>
          <w:rFonts w:hint="eastAsia" w:ascii="宋体" w:hAnsi="宋体" w:eastAsia="宋体" w:cs="宋体"/>
          <w:b/>
          <w:bCs/>
          <w:szCs w:val="21"/>
        </w:rPr>
        <w:t>二、乙方职责</w:t>
      </w:r>
    </w:p>
    <w:p w14:paraId="45313A0D">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1．严格遵守国家有关安全生产的法律法规、有关安全生产的规定，认真执行工程承包合同中的有关安全要求，接受甲方和监理工程师对安全生产工作的指导。</w:t>
      </w:r>
    </w:p>
    <w:p w14:paraId="2CA89CA9">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685C2D46">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10861DF3">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4．乙方在任何时侯都应采取各种合理的预防措施，防止其人员发生任何违法、违禁、暴力、违规或妨碍治安的行为。</w:t>
      </w:r>
    </w:p>
    <w:p w14:paraId="44122160">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0D6067A5">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6．加强施工中交通运输安全管理，各种运输机械等需划定运输路线行驶。</w:t>
      </w:r>
    </w:p>
    <w:p w14:paraId="46B5166B">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7．对于易燃易爆的材料除应专门有效封闭、妥善保管之外，还应配备有足够的消防设施，所有施工人员都应熟悉消防设备的性能和使用方法。</w:t>
      </w:r>
    </w:p>
    <w:p w14:paraId="319B7267">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8．操作人员上岗，必须按规定穿戴防护用品。施工负责人和安全检查员应随时检查劳动防护用品的穿戴情况，不按规定穿戴防护用品的人员不得上岗。</w:t>
      </w:r>
    </w:p>
    <w:p w14:paraId="6C0EE1FA">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9．所有施工机具、设备和劳动保护用品应具备有效的安检合格证明，并经安全员签字同意后方可使用，施工期间应定期检查，保证其处于完好状态；不合格的机具、设备和劳动保护用品严禁使用。</w:t>
      </w:r>
    </w:p>
    <w:p w14:paraId="012C809C">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10．施工现场必须具有相关的安全标志牌。</w:t>
      </w:r>
    </w:p>
    <w:p w14:paraId="418831E7">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11．建立主要危险源备案制度，要明确潜在隐患、防范措施和落实责任人。</w:t>
      </w:r>
    </w:p>
    <w:p w14:paraId="07C76A1D">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78B52CF0">
      <w:pPr>
        <w:spacing w:line="360" w:lineRule="auto"/>
        <w:ind w:left="105" w:leftChars="50" w:firstLine="432" w:firstLineChars="205"/>
        <w:rPr>
          <w:rFonts w:ascii="宋体" w:hAnsi="宋体" w:eastAsia="宋体" w:cs="宋体"/>
          <w:b/>
          <w:bCs/>
          <w:szCs w:val="21"/>
        </w:rPr>
      </w:pPr>
      <w:r>
        <w:rPr>
          <w:rFonts w:hint="eastAsia" w:ascii="宋体" w:hAnsi="宋体" w:eastAsia="宋体" w:cs="宋体"/>
          <w:b/>
          <w:bCs/>
          <w:szCs w:val="21"/>
        </w:rPr>
        <w:t>三、违约责任</w:t>
      </w:r>
    </w:p>
    <w:p w14:paraId="343E8E9C">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如因乙方违约造成安全事故，将报请有关部门依法追究责任。</w:t>
      </w:r>
    </w:p>
    <w:p w14:paraId="3EA3D1FD">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本合同一式陆份，由双方法定代表人或其授权的代理人签署和加盖公章后生效，全部工程竣工验收后失效。</w:t>
      </w:r>
    </w:p>
    <w:p w14:paraId="66CBCB31">
      <w:pPr>
        <w:spacing w:line="360" w:lineRule="auto"/>
        <w:rPr>
          <w:rFonts w:ascii="宋体" w:hAnsi="宋体" w:eastAsia="宋体" w:cs="宋体"/>
          <w:szCs w:val="21"/>
        </w:rPr>
      </w:pPr>
    </w:p>
    <w:p w14:paraId="086D9210">
      <w:pPr>
        <w:spacing w:line="360" w:lineRule="auto"/>
        <w:rPr>
          <w:rFonts w:ascii="宋体" w:hAnsi="宋体" w:eastAsia="宋体" w:cs="宋体"/>
          <w:szCs w:val="21"/>
        </w:rPr>
      </w:pPr>
      <w:r>
        <w:rPr>
          <w:rFonts w:hint="eastAsia" w:ascii="宋体" w:hAnsi="宋体" w:eastAsia="宋体" w:cs="宋体"/>
          <w:szCs w:val="21"/>
        </w:rPr>
        <w:t>甲方：                                      乙方：</w:t>
      </w:r>
    </w:p>
    <w:p w14:paraId="6DDA8BEF">
      <w:pPr>
        <w:spacing w:line="360" w:lineRule="auto"/>
        <w:rPr>
          <w:rFonts w:ascii="宋体" w:hAnsi="宋体" w:eastAsia="宋体" w:cs="宋体"/>
          <w:szCs w:val="21"/>
        </w:rPr>
      </w:pPr>
      <w:r>
        <w:rPr>
          <w:rFonts w:hint="eastAsia" w:ascii="宋体" w:hAnsi="宋体" w:eastAsia="宋体" w:cs="宋体"/>
          <w:szCs w:val="21"/>
        </w:rPr>
        <w:t>法定代表人或授权代理人（</w:t>
      </w:r>
      <w:r>
        <w:rPr>
          <w:rFonts w:hint="eastAsia" w:ascii="宋体" w:hAnsi="宋体" w:eastAsia="宋体" w:cs="宋体"/>
          <w:szCs w:val="21"/>
          <w:lang w:val="en-US" w:eastAsia="zh-CN"/>
        </w:rPr>
        <w:t>盖章或签字</w:t>
      </w:r>
      <w:r>
        <w:rPr>
          <w:rFonts w:hint="eastAsia" w:ascii="宋体" w:hAnsi="宋体" w:eastAsia="宋体" w:cs="宋体"/>
          <w:szCs w:val="21"/>
        </w:rPr>
        <w:t>）：       法定代表人或授权代理人（</w:t>
      </w:r>
      <w:r>
        <w:rPr>
          <w:rFonts w:hint="eastAsia" w:ascii="宋体" w:hAnsi="宋体" w:eastAsia="宋体" w:cs="宋体"/>
          <w:szCs w:val="21"/>
          <w:lang w:val="en-US" w:eastAsia="zh-CN"/>
        </w:rPr>
        <w:t>盖章或签字</w:t>
      </w:r>
      <w:r>
        <w:rPr>
          <w:rFonts w:hint="eastAsia" w:ascii="宋体" w:hAnsi="宋体" w:eastAsia="宋体" w:cs="宋体"/>
          <w:szCs w:val="21"/>
        </w:rPr>
        <w:t>）：</w:t>
      </w:r>
    </w:p>
    <w:p w14:paraId="5494AFB1">
      <w:pPr>
        <w:spacing w:line="360" w:lineRule="auto"/>
        <w:rPr>
          <w:rFonts w:ascii="宋体" w:hAnsi="宋体" w:eastAsia="宋体" w:cs="宋体"/>
          <w:szCs w:val="21"/>
        </w:rPr>
      </w:pPr>
      <w:r>
        <w:rPr>
          <w:rFonts w:hint="eastAsia" w:ascii="宋体" w:hAnsi="宋体" w:eastAsia="宋体" w:cs="宋体"/>
          <w:szCs w:val="21"/>
        </w:rPr>
        <w:t>地址：                                      地址：</w:t>
      </w:r>
    </w:p>
    <w:p w14:paraId="726DB87F">
      <w:pPr>
        <w:spacing w:line="360" w:lineRule="auto"/>
        <w:rPr>
          <w:rFonts w:ascii="宋体" w:hAnsi="宋体" w:eastAsia="宋体" w:cs="宋体"/>
          <w:szCs w:val="21"/>
        </w:rPr>
      </w:pPr>
      <w:r>
        <w:rPr>
          <w:rFonts w:hint="eastAsia" w:ascii="宋体" w:hAnsi="宋体" w:eastAsia="宋体" w:cs="宋体"/>
          <w:szCs w:val="21"/>
        </w:rPr>
        <w:t>电话：                                      电话：</w:t>
      </w:r>
    </w:p>
    <w:p w14:paraId="6FA9675F">
      <w:pPr>
        <w:spacing w:line="360" w:lineRule="auto"/>
        <w:ind w:left="105" w:leftChars="50" w:firstLine="430" w:firstLineChars="205"/>
        <w:rPr>
          <w:rFonts w:ascii="宋体" w:hAnsi="宋体" w:eastAsia="宋体" w:cs="宋体"/>
          <w:szCs w:val="21"/>
        </w:rPr>
      </w:pPr>
    </w:p>
    <w:p w14:paraId="0B3C836A">
      <w:pPr>
        <w:spacing w:line="360" w:lineRule="auto"/>
        <w:rPr>
          <w:rFonts w:ascii="宋体" w:hAnsi="宋体" w:eastAsia="宋体" w:cs="宋体"/>
          <w:szCs w:val="21"/>
        </w:rPr>
      </w:pPr>
      <w:r>
        <w:rPr>
          <w:rFonts w:hint="eastAsia" w:ascii="宋体" w:hAnsi="宋体" w:eastAsia="宋体" w:cs="宋体"/>
          <w:szCs w:val="21"/>
        </w:rPr>
        <w:t xml:space="preserve">签订日期：    年    月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日</w:t>
      </w:r>
    </w:p>
    <w:p w14:paraId="39F8BD2F">
      <w:pPr>
        <w:spacing w:line="360" w:lineRule="auto"/>
        <w:ind w:firstLine="555"/>
        <w:rPr>
          <w:rFonts w:ascii="宋体" w:hAnsi="宋体" w:eastAsia="宋体" w:cs="宋体"/>
          <w:szCs w:val="21"/>
        </w:rPr>
      </w:pPr>
    </w:p>
    <w:p w14:paraId="5297CECD">
      <w:pPr>
        <w:spacing w:line="360" w:lineRule="auto"/>
        <w:ind w:firstLine="555"/>
        <w:jc w:val="center"/>
        <w:rPr>
          <w:rFonts w:ascii="宋体" w:hAnsi="宋体" w:eastAsia="宋体" w:cs="宋体"/>
          <w:b/>
          <w:bCs/>
          <w:szCs w:val="21"/>
        </w:rPr>
      </w:pPr>
    </w:p>
    <w:p w14:paraId="0A53D626">
      <w:pPr>
        <w:spacing w:line="360" w:lineRule="auto"/>
        <w:ind w:firstLine="555"/>
        <w:jc w:val="center"/>
        <w:rPr>
          <w:rFonts w:ascii="宋体" w:hAnsi="宋体" w:eastAsia="宋体" w:cs="宋体"/>
          <w:b/>
          <w:bCs/>
          <w:szCs w:val="21"/>
        </w:rPr>
      </w:pPr>
    </w:p>
    <w:p w14:paraId="182BE112">
      <w:pPr>
        <w:spacing w:line="360" w:lineRule="auto"/>
        <w:ind w:firstLine="555"/>
        <w:jc w:val="center"/>
        <w:rPr>
          <w:rFonts w:ascii="宋体" w:hAnsi="宋体" w:eastAsia="宋体" w:cs="宋体"/>
          <w:b/>
          <w:bCs/>
          <w:szCs w:val="21"/>
        </w:rPr>
      </w:pPr>
    </w:p>
    <w:p w14:paraId="4A232346">
      <w:pPr>
        <w:spacing w:line="360" w:lineRule="auto"/>
        <w:ind w:firstLine="555"/>
        <w:jc w:val="center"/>
        <w:rPr>
          <w:rFonts w:ascii="宋体" w:hAnsi="宋体" w:eastAsia="宋体" w:cs="宋体"/>
          <w:b/>
          <w:bCs/>
          <w:szCs w:val="21"/>
        </w:rPr>
      </w:pPr>
    </w:p>
    <w:p w14:paraId="42550026">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 w:val="28"/>
          <w:szCs w:val="28"/>
        </w:rPr>
        <w:sectPr>
          <w:pgSz w:w="11907" w:h="16840"/>
          <w:pgMar w:top="1440" w:right="1080" w:bottom="1440" w:left="1080" w:header="567" w:footer="567" w:gutter="0"/>
          <w:pgBorders w:offsetFrom="page">
            <w:top w:val="none" w:sz="0" w:space="0"/>
            <w:left w:val="none" w:sz="0" w:space="0"/>
            <w:bottom w:val="none" w:sz="0" w:space="0"/>
            <w:right w:val="none" w:sz="0" w:space="0"/>
          </w:pgBorders>
          <w:pgNumType w:start="1"/>
          <w:cols w:space="720" w:num="1"/>
          <w:titlePg/>
          <w:docGrid w:linePitch="272" w:charSpace="0"/>
        </w:sectPr>
      </w:pPr>
    </w:p>
    <w:p w14:paraId="48CE389D">
      <w:pPr>
        <w:spacing w:line="340" w:lineRule="exact"/>
        <w:jc w:val="center"/>
        <w:rPr>
          <w:rFonts w:hint="eastAsia" w:ascii="宋体" w:hAnsi="宋体" w:eastAsia="宋体" w:cs="宋体"/>
          <w:b/>
          <w:bCs/>
          <w:sz w:val="28"/>
          <w:szCs w:val="28"/>
          <w:lang w:val="zh-CN"/>
        </w:rPr>
      </w:pPr>
      <w:bookmarkStart w:id="680" w:name="_GoBack"/>
      <w:bookmarkEnd w:id="680"/>
      <w:r>
        <w:rPr>
          <w:rFonts w:hint="eastAsia" w:ascii="宋体" w:hAnsi="宋体" w:eastAsia="宋体" w:cs="宋体"/>
          <w:b/>
          <w:bCs/>
          <w:sz w:val="28"/>
          <w:szCs w:val="28"/>
          <w:lang w:val="zh-CN"/>
        </w:rPr>
        <w:t>治安、消防承包协议书</w:t>
      </w:r>
    </w:p>
    <w:p w14:paraId="6B212128">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甲方： </w:t>
      </w:r>
      <w:r>
        <w:rPr>
          <w:rFonts w:hint="eastAsia" w:ascii="宋体" w:hAnsi="宋体" w:eastAsia="宋体" w:cs="宋体"/>
          <w:kern w:val="0"/>
          <w:sz w:val="21"/>
          <w:szCs w:val="21"/>
          <w:u w:val="single"/>
          <w:lang w:val="zh-CN" w:bidi="zh-CN"/>
        </w:rPr>
        <w:t xml:space="preserve">                   </w:t>
      </w:r>
      <w:r>
        <w:rPr>
          <w:rFonts w:hint="eastAsia" w:ascii="宋体" w:hAnsi="宋体" w:eastAsia="宋体" w:cs="宋体"/>
          <w:kern w:val="0"/>
          <w:sz w:val="21"/>
          <w:szCs w:val="21"/>
          <w:lang w:val="zh-CN" w:bidi="zh-CN"/>
        </w:rPr>
        <w:t xml:space="preserve">                                          </w:t>
      </w:r>
    </w:p>
    <w:p w14:paraId="3CD649AB">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乙方： </w:t>
      </w:r>
      <w:r>
        <w:rPr>
          <w:rFonts w:hint="eastAsia" w:ascii="宋体" w:hAnsi="宋体" w:eastAsia="宋体" w:cs="宋体"/>
          <w:kern w:val="0"/>
          <w:sz w:val="21"/>
          <w:szCs w:val="21"/>
          <w:u w:val="single"/>
          <w:lang w:val="zh-CN" w:bidi="zh-CN"/>
        </w:rPr>
        <w:t xml:space="preserve">                   </w:t>
      </w:r>
      <w:r>
        <w:rPr>
          <w:rFonts w:hint="eastAsia" w:ascii="宋体" w:hAnsi="宋体" w:eastAsia="宋体" w:cs="宋体"/>
          <w:kern w:val="0"/>
          <w:sz w:val="21"/>
          <w:szCs w:val="21"/>
          <w:lang w:val="zh-CN" w:bidi="zh-CN"/>
        </w:rPr>
        <w:t xml:space="preserve">                                           </w:t>
      </w:r>
    </w:p>
    <w:p w14:paraId="18B925EC">
      <w:pPr>
        <w:autoSpaceDE w:val="0"/>
        <w:autoSpaceDN w:val="0"/>
        <w:spacing w:line="360" w:lineRule="auto"/>
        <w:ind w:firstLine="555"/>
        <w:jc w:val="left"/>
        <w:rPr>
          <w:rFonts w:ascii="宋体" w:hAnsi="宋体" w:eastAsia="宋体" w:cs="宋体"/>
          <w:b/>
          <w:bCs/>
          <w:kern w:val="0"/>
          <w:sz w:val="21"/>
          <w:szCs w:val="21"/>
          <w:lang w:val="zh-CN" w:bidi="zh-CN"/>
        </w:rPr>
      </w:pPr>
      <w:r>
        <w:rPr>
          <w:rFonts w:hint="eastAsia" w:ascii="宋体" w:hAnsi="宋体" w:eastAsia="宋体" w:cs="宋体"/>
          <w:b/>
          <w:bCs/>
          <w:kern w:val="0"/>
          <w:sz w:val="21"/>
          <w:szCs w:val="21"/>
          <w:lang w:val="zh-CN" w:bidi="zh-CN"/>
        </w:rPr>
        <w:t>一、承包工程项目</w:t>
      </w:r>
    </w:p>
    <w:p w14:paraId="78AB1912">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工程项目名称： </w:t>
      </w:r>
      <w:r>
        <w:rPr>
          <w:rFonts w:hint="eastAsia" w:ascii="宋体" w:hAnsi="宋体" w:eastAsia="宋体" w:cs="宋体"/>
          <w:kern w:val="0"/>
          <w:sz w:val="21"/>
          <w:szCs w:val="21"/>
          <w:u w:val="single"/>
          <w:lang w:val="zh-CN" w:bidi="zh-CN"/>
        </w:rPr>
        <w:t xml:space="preserve">                     </w:t>
      </w:r>
      <w:r>
        <w:rPr>
          <w:rFonts w:hint="eastAsia" w:ascii="宋体" w:hAnsi="宋体" w:eastAsia="宋体" w:cs="宋体"/>
          <w:kern w:val="0"/>
          <w:sz w:val="21"/>
          <w:szCs w:val="21"/>
          <w:lang w:val="zh-CN" w:bidi="zh-CN"/>
        </w:rPr>
        <w:t xml:space="preserve">                                            </w:t>
      </w:r>
    </w:p>
    <w:p w14:paraId="436B192B">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承包范围： </w:t>
      </w:r>
      <w:r>
        <w:rPr>
          <w:rFonts w:hint="eastAsia" w:ascii="宋体" w:hAnsi="宋体" w:eastAsia="宋体" w:cs="宋体"/>
          <w:kern w:val="0"/>
          <w:sz w:val="21"/>
          <w:szCs w:val="21"/>
          <w:u w:val="single"/>
          <w:lang w:val="zh-CN" w:bidi="zh-CN"/>
        </w:rPr>
        <w:t xml:space="preserve">                         </w:t>
      </w:r>
      <w:r>
        <w:rPr>
          <w:rFonts w:hint="eastAsia" w:ascii="宋体" w:hAnsi="宋体" w:eastAsia="宋体" w:cs="宋体"/>
          <w:kern w:val="0"/>
          <w:sz w:val="21"/>
          <w:szCs w:val="21"/>
          <w:lang w:val="zh-CN" w:bidi="zh-CN"/>
        </w:rPr>
        <w:t xml:space="preserve">                                         </w:t>
      </w:r>
    </w:p>
    <w:p w14:paraId="515221D5">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承包方式： </w:t>
      </w:r>
      <w:r>
        <w:rPr>
          <w:rFonts w:hint="eastAsia" w:ascii="宋体" w:hAnsi="宋体" w:eastAsia="宋体" w:cs="宋体"/>
          <w:kern w:val="0"/>
          <w:sz w:val="21"/>
          <w:szCs w:val="21"/>
          <w:u w:val="single"/>
          <w:lang w:val="zh-CN" w:bidi="zh-CN"/>
        </w:rPr>
        <w:t xml:space="preserve">                         </w:t>
      </w:r>
      <w:r>
        <w:rPr>
          <w:rFonts w:hint="eastAsia" w:ascii="宋体" w:hAnsi="宋体" w:eastAsia="宋体" w:cs="宋体"/>
          <w:kern w:val="0"/>
          <w:sz w:val="21"/>
          <w:szCs w:val="21"/>
          <w:lang w:val="zh-CN" w:bidi="zh-CN"/>
        </w:rPr>
        <w:t xml:space="preserve">                                          </w:t>
      </w:r>
    </w:p>
    <w:p w14:paraId="722EEEF0">
      <w:pPr>
        <w:autoSpaceDE w:val="0"/>
        <w:autoSpaceDN w:val="0"/>
        <w:spacing w:line="360" w:lineRule="auto"/>
        <w:ind w:firstLine="555"/>
        <w:jc w:val="left"/>
        <w:rPr>
          <w:rFonts w:ascii="宋体" w:hAnsi="宋体" w:eastAsia="宋体" w:cs="宋体"/>
          <w:b/>
          <w:bCs/>
          <w:kern w:val="0"/>
          <w:sz w:val="21"/>
          <w:szCs w:val="21"/>
          <w:lang w:val="zh-CN" w:bidi="zh-CN"/>
        </w:rPr>
      </w:pPr>
      <w:r>
        <w:rPr>
          <w:rFonts w:hint="eastAsia" w:ascii="宋体" w:hAnsi="宋体" w:eastAsia="宋体" w:cs="宋体"/>
          <w:b/>
          <w:bCs/>
          <w:kern w:val="0"/>
          <w:sz w:val="21"/>
          <w:szCs w:val="21"/>
          <w:lang w:val="zh-CN" w:bidi="zh-CN"/>
        </w:rPr>
        <w:t>二、工程项目期限</w:t>
      </w:r>
    </w:p>
    <w:p w14:paraId="0D7421C6">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满足甲方工程进度要求，根据国家法律法规及常州市有关规定，进一步明确甲、乙双方的治安、消防责任，确保施工、经营安全，甲、乙双方在签订《工程承包合同》的同时，签订本协议，作为附件。</w:t>
      </w:r>
    </w:p>
    <w:p w14:paraId="12FF3431">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经双方平等协商同意，自愿签订本协议书，共同遵守本协议所列条款。</w:t>
      </w:r>
    </w:p>
    <w:p w14:paraId="06BF5C7F">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三、甲、乙双方治安、消防的共同要求</w:t>
      </w:r>
    </w:p>
    <w:p w14:paraId="637CB941">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1．甲、乙双方认真贯彻执行《中华人民共和国消防法》《建设工程施工现场消防安全技术规范（GB50720-2011）》等其他相关的法律法规，坚持执行“预防为主、防消结合”的方针。</w:t>
      </w:r>
    </w:p>
    <w:p w14:paraId="77B701AB">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2．甲、乙双方认真落实治安保卫责任制，消防安全责任制，建立健全治保、消防组织，做好本项目治安、防火管理工作，提高自管、自防、自治能力。</w:t>
      </w:r>
    </w:p>
    <w:p w14:paraId="36CFA8B7">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3．甲、乙双方认真落实办公室、宿舍、料具间、施工现场、更衣室等场所的治安防范、防火安全措施，妥善保管好现金、贵重物品、料机具等财物，开展经常性的安全检查，及时发现和消除火险隐患，确保安全。 </w:t>
      </w:r>
    </w:p>
    <w:p w14:paraId="7632C4DF">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4．甲、乙双方切实加强对职工的教育管理，做好法制教育工作，加强精神文明建设，增强职工的法制观念、道德观念和治安、防火安全意识，提高职工遵纪守法的自觉性。</w:t>
      </w:r>
    </w:p>
    <w:p w14:paraId="6D8E8E68">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5．甲、乙双方必须坚持“谁主管、谁负责”“谁使用、谁负责”的原则，制定防火岗位责任制，乙方应明确一名分管领导负责施工队的消防安全工作。</w:t>
      </w:r>
    </w:p>
    <w:p w14:paraId="0449A665">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四、治安要求</w:t>
      </w:r>
    </w:p>
    <w:p w14:paraId="5DBA4B57">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1．乙方必须确定一人负责检验证件，收集照片，申报暂住证等工作，按规定做到三天内人来即报（报甲方所在地区派出所及甲方），人走即销，登记在册的人员与实际居住人员相符合。</w:t>
      </w:r>
    </w:p>
    <w:p w14:paraId="076EA6E3">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2．乙方必须杜绝无法提供有效身份证的人员为本单位职工，严禁擅自容留外来人员，做到有据可查，并与户口登记人员相一致；如甲方查处乙方人员与户口登记不符，由此造成的后果有乙方负责。</w:t>
      </w:r>
    </w:p>
    <w:p w14:paraId="424FDDEC">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3．乙方定期对全体职工进行法制和治安防范宣传教育，并书面记录活动情况，增强职工遵纪守法的观念，预防和减少各类违法犯罪活动。</w:t>
      </w:r>
    </w:p>
    <w:p w14:paraId="7E82EF03">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14:paraId="031A335C">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5．凡乙方职工违法犯罪，除按国家有关法律法规处理外，造成甲方经济损失的，由乙方赔偿甲方的全部经济损失。</w:t>
      </w:r>
    </w:p>
    <w:p w14:paraId="6A061225">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6. 乙方必须管理好自己的工人，不得酗酒闹事，打架斗殴，倒卖工地上的任何财物。</w:t>
      </w:r>
    </w:p>
    <w:p w14:paraId="43A60ADF">
      <w:pPr>
        <w:autoSpaceDE w:val="0"/>
        <w:autoSpaceDN w:val="0"/>
        <w:spacing w:line="360" w:lineRule="auto"/>
        <w:ind w:firstLine="555"/>
        <w:jc w:val="left"/>
        <w:rPr>
          <w:rFonts w:ascii="宋体" w:hAnsi="宋体" w:eastAsia="宋体" w:cs="宋体"/>
          <w:b/>
          <w:bCs/>
          <w:kern w:val="0"/>
          <w:sz w:val="21"/>
          <w:szCs w:val="21"/>
          <w:lang w:val="zh-CN" w:bidi="zh-CN"/>
        </w:rPr>
      </w:pPr>
      <w:r>
        <w:rPr>
          <w:rFonts w:hint="eastAsia" w:ascii="宋体" w:hAnsi="宋体" w:eastAsia="宋体" w:cs="宋体"/>
          <w:b/>
          <w:bCs/>
          <w:kern w:val="0"/>
          <w:sz w:val="21"/>
          <w:szCs w:val="21"/>
          <w:lang w:val="zh-CN" w:bidi="zh-CN"/>
        </w:rPr>
        <w:t>五、消防要求</w:t>
      </w:r>
    </w:p>
    <w:p w14:paraId="4DE3F0A4">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1．甲方负责施工项目消防工作的全面领导及施工现场的消防器材的整体消防安全布置，根据施工现场环境制定消防安全施工方案和安全防范措施。</w:t>
      </w:r>
    </w:p>
    <w:p w14:paraId="44F46F81">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2．甲方负责审查乙方的消防施工方案、消防应急预案及消防安全措施等，督促分包单位在施工过程中加以实施。</w:t>
      </w:r>
    </w:p>
    <w:p w14:paraId="198A6942">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14:paraId="6AC0618B">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4．甲方根据施工部位、环境因素，制定消防措施，负责办理分包单位动火审批手续。</w:t>
      </w:r>
    </w:p>
    <w:p w14:paraId="5F4F9D44">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5．乙方必须服从总包单位消防安全管理，严格执行总包单位各项消防安全管理制度。</w:t>
      </w:r>
    </w:p>
    <w:p w14:paraId="1689B686">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6．乙方负责本单位消防工作应与施工生产任务同计划、同检查，同布置，在安排生产任务的同时，要履行消防安全责任，落实消防安全措施。</w:t>
      </w:r>
    </w:p>
    <w:p w14:paraId="64D6DCC4">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7．乙方应建立本单位消防领导小组及义务消防队，认真落实各项消防制度，并按规定向现场施工人员进行防火安全宣传教育，配备消防安全管理人员。</w:t>
      </w:r>
    </w:p>
    <w:p w14:paraId="2728E2F5">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8．乙方应定期对本单位施工环境进行检查，并落实整改措施，检查记录应报总包单位留存备案。</w:t>
      </w:r>
    </w:p>
    <w:p w14:paraId="04379458">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9．乙方应经常开展多种形式的消防安全教育，每月定期组织本单位职工召开消防安全教育会议和特殊工种安全教育会议，并有培训记录。</w:t>
      </w:r>
    </w:p>
    <w:p w14:paraId="1EF19307">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10．乙方必须严格执行各类防火、防爆制度，易燃易爆场所严禁吸烟或动用明火，消防器材不准挪作他用，消防器材前严禁堆物，电焊、气割作业应按规定办理动火手续；严格遵守“十不烧”规定。</w:t>
      </w:r>
    </w:p>
    <w:p w14:paraId="2C2AF44E">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11.乙方应在自己的施工区域内按照甲方的要求布置灭火器。</w:t>
      </w:r>
    </w:p>
    <w:p w14:paraId="38086202">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12.乙方特种作业必须执行国家《特种作业人员安全技术培训考核管理规定》经省、市地区的特种作业安全技术考核培训后，持证上岗，严禁违章无证操作，由于无证操作造成的事故，一切责任由违约方承担。</w:t>
      </w:r>
    </w:p>
    <w:p w14:paraId="653BB18E">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14:paraId="6D7764FF">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14.施工现场严禁吸烟，木工棚及仓库严禁烟火，并严格执行各类防火、防毒、防冻、防爆措施，悬挂明显的防火安全标识，配备消防器材。</w:t>
      </w:r>
    </w:p>
    <w:p w14:paraId="3158C046">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14:paraId="4DEB8907">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16.生活区内住宿的人员，必须遵守生活区、宿舍的消防管理规定，不准私自乱接乱拉电线和违章使用大功率电器，不得在床铺上吸烟。</w:t>
      </w:r>
    </w:p>
    <w:p w14:paraId="1DA66934">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17.发生火灾事故时，立即组织人员进行抢救，并同时向总包单位报告，保护好现场，并配合事故调查。</w:t>
      </w:r>
    </w:p>
    <w:p w14:paraId="161C68E1">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六、本协议规定内容与上级规定相抵触之处，以上级规定为准。</w:t>
      </w:r>
    </w:p>
    <w:p w14:paraId="238CB08D">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七、本协议未尽事宜，按上级有关规定执行。</w:t>
      </w:r>
    </w:p>
    <w:p w14:paraId="561EE44A">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本协议书自签字之日起生效至工程完工终止。                                                                                                                             </w:t>
      </w:r>
    </w:p>
    <w:p w14:paraId="0262C00C">
      <w:pPr>
        <w:autoSpaceDE w:val="0"/>
        <w:autoSpaceDN w:val="0"/>
        <w:spacing w:line="360" w:lineRule="auto"/>
        <w:ind w:firstLine="630" w:firstLineChars="300"/>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 xml:space="preserve">甲方：                                        乙方：                    </w:t>
      </w:r>
    </w:p>
    <w:p w14:paraId="61EAA16D">
      <w:pPr>
        <w:autoSpaceDE w:val="0"/>
        <w:autoSpaceDN w:val="0"/>
        <w:spacing w:line="360" w:lineRule="auto"/>
        <w:ind w:firstLine="555"/>
        <w:jc w:val="left"/>
        <w:rPr>
          <w:rFonts w:ascii="宋体" w:hAnsi="宋体" w:eastAsia="宋体" w:cs="宋体"/>
          <w:kern w:val="0"/>
          <w:sz w:val="21"/>
          <w:szCs w:val="21"/>
          <w:lang w:val="zh-CN" w:bidi="zh-CN"/>
        </w:rPr>
      </w:pPr>
      <w:r>
        <w:rPr>
          <w:rFonts w:hint="eastAsia" w:ascii="宋体" w:hAnsi="宋体" w:eastAsia="宋体" w:cs="宋体"/>
          <w:kern w:val="0"/>
          <w:sz w:val="21"/>
          <w:szCs w:val="21"/>
          <w:lang w:val="zh-CN" w:bidi="zh-CN"/>
        </w:rPr>
        <w:t>法定代表人（签字或盖章）：                     法定代表人（签字或盖章）：</w:t>
      </w:r>
      <w:r>
        <w:rPr>
          <w:rFonts w:ascii="宋体" w:hAnsi="宋体" w:eastAsia="宋体" w:cs="宋体"/>
          <w:kern w:val="0"/>
          <w:sz w:val="21"/>
          <w:szCs w:val="21"/>
          <w:lang w:val="zh-CN" w:bidi="zh-CN"/>
        </w:rPr>
        <w:t xml:space="preserve"> </w:t>
      </w:r>
    </w:p>
    <w:p w14:paraId="23C3DBED">
      <w:pPr>
        <w:autoSpaceDE w:val="0"/>
        <w:autoSpaceDN w:val="0"/>
        <w:ind w:left="442" w:firstLine="210" w:firstLineChars="100"/>
        <w:jc w:val="both"/>
        <w:rPr>
          <w:rFonts w:ascii="宋体" w:hAnsi="宋体" w:eastAsia="宋体" w:cs="宋体"/>
          <w:b/>
          <w:kern w:val="0"/>
          <w:sz w:val="24"/>
          <w:szCs w:val="22"/>
          <w:lang w:val="zh-CN" w:bidi="zh-CN"/>
        </w:rPr>
      </w:pPr>
      <w:r>
        <w:rPr>
          <w:rFonts w:hint="eastAsia" w:ascii="宋体" w:hAnsi="宋体" w:eastAsia="宋体" w:cs="宋体"/>
          <w:kern w:val="0"/>
          <w:sz w:val="21"/>
          <w:szCs w:val="21"/>
          <w:lang w:val="zh-CN" w:bidi="zh-CN"/>
        </w:rPr>
        <w:t xml:space="preserve">年    月    日                            </w:t>
      </w:r>
      <w:r>
        <w:rPr>
          <w:rFonts w:hint="eastAsia" w:ascii="宋体" w:hAnsi="宋体" w:eastAsia="宋体" w:cs="宋体"/>
          <w:kern w:val="0"/>
          <w:sz w:val="21"/>
          <w:szCs w:val="21"/>
          <w:lang w:val="en-US" w:bidi="zh-CN"/>
        </w:rPr>
        <w:t xml:space="preserve">      </w:t>
      </w:r>
      <w:r>
        <w:rPr>
          <w:rFonts w:hint="eastAsia" w:ascii="宋体" w:hAnsi="宋体" w:eastAsia="宋体" w:cs="宋体"/>
          <w:kern w:val="0"/>
          <w:sz w:val="21"/>
          <w:szCs w:val="21"/>
          <w:lang w:val="zh-CN" w:bidi="zh-CN"/>
        </w:rPr>
        <w:t>年    月    日</w:t>
      </w:r>
    </w:p>
    <w:p w14:paraId="2BD19636">
      <w:pPr>
        <w:numPr>
          <w:ilvl w:val="0"/>
          <w:numId w:val="4"/>
        </w:num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 w:val="28"/>
          <w:szCs w:val="28"/>
          <w:lang w:eastAsia="zh-CN"/>
        </w:rPr>
        <w:sectPr>
          <w:pgSz w:w="11907" w:h="16840"/>
          <w:pgMar w:top="1440" w:right="1080" w:bottom="1440" w:left="1080" w:header="567" w:footer="567" w:gutter="0"/>
          <w:pgBorders w:offsetFrom="page">
            <w:top w:val="none" w:sz="0" w:space="0"/>
            <w:left w:val="none" w:sz="0" w:space="0"/>
            <w:bottom w:val="none" w:sz="0" w:space="0"/>
            <w:right w:val="none" w:sz="0" w:space="0"/>
          </w:pgBorders>
          <w:pgNumType w:start="1"/>
          <w:cols w:space="720" w:num="1"/>
          <w:titlePg/>
          <w:docGrid w:linePitch="272" w:charSpace="0"/>
        </w:sectPr>
      </w:pPr>
    </w:p>
    <w:p w14:paraId="494111EF">
      <w:pPr>
        <w:numPr>
          <w:ilvl w:val="0"/>
          <w:numId w:val="0"/>
        </w:num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 w:val="28"/>
          <w:szCs w:val="28"/>
          <w:lang w:eastAsia="zh-CN"/>
        </w:rPr>
      </w:pPr>
      <w:r>
        <w:rPr>
          <w:rFonts w:hint="eastAsia" w:ascii="宋体" w:hAnsi="宋体" w:eastAsia="宋体" w:cs="宋体"/>
          <w:b/>
          <w:snapToGrid w:val="0"/>
          <w:sz w:val="28"/>
          <w:szCs w:val="28"/>
          <w:lang w:val="en-US" w:eastAsia="zh-CN"/>
        </w:rPr>
        <w:t xml:space="preserve">第三章 </w:t>
      </w:r>
      <w:r>
        <w:rPr>
          <w:rFonts w:hint="eastAsia" w:ascii="宋体" w:hAnsi="宋体" w:eastAsia="宋体" w:cs="宋体"/>
          <w:b/>
          <w:snapToGrid w:val="0"/>
          <w:sz w:val="28"/>
          <w:szCs w:val="28"/>
        </w:rPr>
        <w:t>工程量清单</w:t>
      </w:r>
      <w:r>
        <w:rPr>
          <w:rFonts w:hint="eastAsia" w:ascii="宋体" w:hAnsi="宋体" w:eastAsia="宋体" w:cs="宋体"/>
          <w:b/>
          <w:snapToGrid w:val="0"/>
          <w:sz w:val="28"/>
          <w:szCs w:val="28"/>
          <w:lang w:eastAsia="zh-CN"/>
        </w:rPr>
        <w:t>、招标最高限价</w:t>
      </w:r>
      <w:bookmarkEnd w:id="12"/>
      <w:bookmarkEnd w:id="13"/>
      <w:bookmarkEnd w:id="14"/>
      <w:bookmarkEnd w:id="15"/>
      <w:bookmarkEnd w:id="16"/>
      <w:bookmarkEnd w:id="17"/>
      <w:bookmarkEnd w:id="18"/>
      <w:r>
        <w:rPr>
          <w:rFonts w:hint="eastAsia" w:ascii="宋体" w:hAnsi="宋体" w:eastAsia="宋体" w:cs="宋体"/>
          <w:b/>
          <w:snapToGrid w:val="0"/>
          <w:sz w:val="28"/>
          <w:szCs w:val="28"/>
          <w:lang w:val="en-US" w:eastAsia="zh-CN"/>
        </w:rPr>
        <w:t>及编制说明</w:t>
      </w:r>
    </w:p>
    <w:p w14:paraId="42A71BA4">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sectPr>
          <w:pgSz w:w="11907" w:h="16840"/>
          <w:pgMar w:top="1440" w:right="1080" w:bottom="1440" w:left="1080" w:header="567" w:footer="567" w:gutter="0"/>
          <w:pgBorders w:offsetFrom="page">
            <w:top w:val="none" w:sz="0" w:space="0"/>
            <w:left w:val="none" w:sz="0" w:space="0"/>
            <w:bottom w:val="none" w:sz="0" w:space="0"/>
            <w:right w:val="none" w:sz="0" w:space="0"/>
          </w:pgBorders>
          <w:pgNumType w:start="1"/>
          <w:cols w:space="720" w:num="1"/>
          <w:titlePg/>
          <w:docGrid w:linePitch="272" w:charSpace="0"/>
        </w:sectPr>
      </w:pPr>
      <w:bookmarkStart w:id="644" w:name="_Toc7647"/>
      <w:bookmarkStart w:id="645" w:name="_Toc16321"/>
      <w:bookmarkStart w:id="646" w:name="_Toc8075"/>
      <w:bookmarkStart w:id="647" w:name="_Toc25630"/>
      <w:bookmarkStart w:id="648" w:name="_Toc424397473"/>
      <w:bookmarkStart w:id="649" w:name="_Toc25127"/>
      <w:bookmarkStart w:id="650" w:name="_Toc22795"/>
    </w:p>
    <w:p w14:paraId="5A352311">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w:t>
      </w:r>
      <w:r>
        <w:rPr>
          <w:rFonts w:hint="eastAsia" w:ascii="宋体" w:hAnsi="宋体"/>
          <w:b/>
          <w:snapToGrid w:val="0"/>
          <w:sz w:val="28"/>
          <w:szCs w:val="28"/>
          <w:lang w:val="en-US" w:eastAsia="zh-CN"/>
        </w:rPr>
        <w:t>四</w:t>
      </w:r>
      <w:r>
        <w:rPr>
          <w:rFonts w:hint="eastAsia" w:ascii="宋体" w:hAnsi="宋体"/>
          <w:b/>
          <w:snapToGrid w:val="0"/>
          <w:sz w:val="28"/>
          <w:szCs w:val="28"/>
        </w:rPr>
        <w:t>章 　投标文件(格式)</w:t>
      </w:r>
      <w:bookmarkEnd w:id="644"/>
      <w:bookmarkEnd w:id="645"/>
      <w:bookmarkEnd w:id="646"/>
      <w:bookmarkEnd w:id="647"/>
      <w:bookmarkEnd w:id="648"/>
      <w:bookmarkEnd w:id="649"/>
      <w:bookmarkEnd w:id="650"/>
    </w:p>
    <w:p w14:paraId="5068C328">
      <w:pPr>
        <w:pStyle w:val="5"/>
        <w:spacing w:line="360" w:lineRule="auto"/>
        <w:ind w:left="480" w:firstLine="360"/>
        <w:rPr>
          <w:rFonts w:hAnsi="宋体"/>
          <w:b/>
          <w:sz w:val="24"/>
        </w:rPr>
      </w:pPr>
    </w:p>
    <w:p w14:paraId="70B2B289">
      <w:pPr>
        <w:pStyle w:val="5"/>
        <w:spacing w:line="360" w:lineRule="auto"/>
        <w:ind w:left="480" w:firstLine="360"/>
        <w:rPr>
          <w:rFonts w:hAnsi="宋体"/>
          <w:b/>
          <w:sz w:val="24"/>
        </w:rPr>
      </w:pPr>
    </w:p>
    <w:p w14:paraId="6DFBBEAC">
      <w:pPr>
        <w:pStyle w:val="5"/>
        <w:spacing w:line="360" w:lineRule="auto"/>
        <w:ind w:left="480" w:firstLine="360"/>
        <w:rPr>
          <w:rFonts w:hAnsi="宋体"/>
          <w:b/>
          <w:sz w:val="24"/>
        </w:rPr>
      </w:pPr>
    </w:p>
    <w:p w14:paraId="0F2DAE05">
      <w:pPr>
        <w:spacing w:line="360" w:lineRule="auto"/>
        <w:jc w:val="center"/>
        <w:rPr>
          <w:rFonts w:hint="eastAsia" w:ascii="宋体" w:hAnsi="宋体"/>
          <w:b/>
          <w:sz w:val="28"/>
          <w:szCs w:val="28"/>
          <w:lang w:eastAsia="zh-CN"/>
        </w:rPr>
      </w:pPr>
      <w:r>
        <w:rPr>
          <w:rFonts w:hint="eastAsia" w:ascii="宋体" w:hAnsi="宋体"/>
          <w:b/>
          <w:sz w:val="28"/>
          <w:szCs w:val="28"/>
          <w:lang w:eastAsia="zh-CN"/>
        </w:rPr>
        <w:t>常州市金坛区河滨小学教室门更换出新</w:t>
      </w:r>
    </w:p>
    <w:p w14:paraId="7F403FE6">
      <w:pPr>
        <w:spacing w:line="360" w:lineRule="auto"/>
        <w:jc w:val="center"/>
        <w:rPr>
          <w:rFonts w:ascii="宋体" w:hAnsi="宋体"/>
          <w:b/>
          <w:sz w:val="28"/>
          <w:szCs w:val="28"/>
        </w:rPr>
      </w:pPr>
      <w:r>
        <w:rPr>
          <w:rFonts w:hint="eastAsia" w:ascii="宋体" w:hAnsi="宋体"/>
          <w:b/>
          <w:sz w:val="28"/>
          <w:szCs w:val="28"/>
        </w:rPr>
        <w:t>投 标 文 件</w:t>
      </w:r>
    </w:p>
    <w:p w14:paraId="32FE8D4F">
      <w:pPr>
        <w:spacing w:line="360" w:lineRule="auto"/>
        <w:rPr>
          <w:rFonts w:ascii="宋体" w:hAnsi="宋体"/>
          <w:sz w:val="24"/>
        </w:rPr>
      </w:pPr>
    </w:p>
    <w:p w14:paraId="103B7DF5">
      <w:pPr>
        <w:spacing w:line="360" w:lineRule="auto"/>
        <w:rPr>
          <w:rFonts w:ascii="宋体" w:hAnsi="宋体"/>
          <w:sz w:val="24"/>
        </w:rPr>
      </w:pPr>
      <w:r>
        <w:rPr>
          <w:rFonts w:hint="eastAsia" w:ascii="宋体" w:hAnsi="宋体"/>
          <w:sz w:val="24"/>
        </w:rPr>
        <w:t xml:space="preserve">                  </w:t>
      </w:r>
    </w:p>
    <w:p w14:paraId="28F0B9CF">
      <w:pPr>
        <w:spacing w:line="360" w:lineRule="auto"/>
        <w:rPr>
          <w:rFonts w:ascii="宋体" w:hAnsi="宋体"/>
          <w:sz w:val="24"/>
        </w:rPr>
      </w:pPr>
    </w:p>
    <w:p w14:paraId="34B5F4CF">
      <w:pPr>
        <w:spacing w:line="360" w:lineRule="auto"/>
        <w:rPr>
          <w:rFonts w:ascii="宋体" w:hAnsi="宋体"/>
          <w:sz w:val="24"/>
        </w:rPr>
      </w:pPr>
    </w:p>
    <w:p w14:paraId="61917088">
      <w:pPr>
        <w:pStyle w:val="2"/>
      </w:pPr>
    </w:p>
    <w:p w14:paraId="652EC8B5">
      <w:pPr>
        <w:spacing w:line="360" w:lineRule="auto"/>
        <w:ind w:firstLine="1500"/>
        <w:rPr>
          <w:rFonts w:ascii="宋体" w:hAnsi="宋体"/>
          <w:sz w:val="24"/>
          <w:u w:val="single"/>
        </w:rPr>
      </w:pPr>
      <w:r>
        <w:rPr>
          <w:rFonts w:hint="eastAsia" w:ascii="宋体" w:hAnsi="宋体"/>
          <w:sz w:val="24"/>
        </w:rPr>
        <w:t xml:space="preserve"> </w:t>
      </w:r>
    </w:p>
    <w:p w14:paraId="249F053C">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14:paraId="28D06857">
      <w:pPr>
        <w:spacing w:line="360" w:lineRule="auto"/>
        <w:rPr>
          <w:rFonts w:ascii="宋体" w:hAnsi="宋体"/>
          <w:sz w:val="24"/>
        </w:rPr>
      </w:pPr>
    </w:p>
    <w:p w14:paraId="2F6A0994">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14:paraId="4CE295F2">
      <w:pPr>
        <w:spacing w:line="360" w:lineRule="auto"/>
        <w:ind w:firstLine="1890"/>
        <w:rPr>
          <w:rFonts w:ascii="宋体" w:hAnsi="宋体"/>
          <w:sz w:val="24"/>
          <w:u w:val="single"/>
        </w:rPr>
      </w:pPr>
    </w:p>
    <w:p w14:paraId="1A9E8266">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14:paraId="280D574A">
      <w:pPr>
        <w:spacing w:line="360" w:lineRule="auto"/>
        <w:ind w:firstLine="1500"/>
        <w:rPr>
          <w:rFonts w:ascii="宋体" w:hAnsi="宋体"/>
          <w:sz w:val="24"/>
        </w:rPr>
      </w:pPr>
    </w:p>
    <w:p w14:paraId="66214F3E">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569DB31">
      <w:pPr>
        <w:tabs>
          <w:tab w:val="left" w:pos="0"/>
          <w:tab w:val="left" w:pos="993"/>
          <w:tab w:val="left" w:pos="1134"/>
        </w:tabs>
        <w:adjustRightInd w:val="0"/>
        <w:snapToGrid w:val="0"/>
        <w:spacing w:line="360" w:lineRule="auto"/>
        <w:jc w:val="center"/>
        <w:rPr>
          <w:rFonts w:ascii="宋体" w:hAnsi="宋体"/>
          <w:b/>
          <w:snapToGrid w:val="0"/>
          <w:sz w:val="24"/>
        </w:rPr>
      </w:pPr>
    </w:p>
    <w:p w14:paraId="5ECE51CB">
      <w:pPr>
        <w:tabs>
          <w:tab w:val="left" w:pos="0"/>
          <w:tab w:val="left" w:pos="993"/>
          <w:tab w:val="left" w:pos="1134"/>
        </w:tabs>
        <w:adjustRightInd w:val="0"/>
        <w:snapToGrid w:val="0"/>
        <w:spacing w:line="360" w:lineRule="auto"/>
        <w:jc w:val="center"/>
        <w:rPr>
          <w:rFonts w:ascii="宋体" w:hAnsi="宋体"/>
          <w:b/>
          <w:snapToGrid w:val="0"/>
          <w:sz w:val="24"/>
        </w:rPr>
      </w:pPr>
    </w:p>
    <w:p w14:paraId="34FA4ACB">
      <w:pPr>
        <w:tabs>
          <w:tab w:val="left" w:pos="0"/>
          <w:tab w:val="left" w:pos="993"/>
          <w:tab w:val="left" w:pos="1134"/>
        </w:tabs>
        <w:adjustRightInd w:val="0"/>
        <w:snapToGrid w:val="0"/>
        <w:spacing w:line="360" w:lineRule="auto"/>
        <w:jc w:val="center"/>
        <w:rPr>
          <w:rFonts w:ascii="宋体" w:hAnsi="宋体"/>
          <w:b/>
          <w:snapToGrid w:val="0"/>
          <w:sz w:val="24"/>
        </w:rPr>
      </w:pPr>
    </w:p>
    <w:p w14:paraId="28AD246A">
      <w:pPr>
        <w:tabs>
          <w:tab w:val="left" w:pos="0"/>
          <w:tab w:val="left" w:pos="993"/>
          <w:tab w:val="left" w:pos="1134"/>
        </w:tabs>
        <w:adjustRightInd w:val="0"/>
        <w:snapToGrid w:val="0"/>
        <w:spacing w:line="360" w:lineRule="auto"/>
        <w:jc w:val="center"/>
        <w:rPr>
          <w:rFonts w:ascii="宋体" w:hAnsi="宋体"/>
          <w:b/>
          <w:snapToGrid w:val="0"/>
          <w:sz w:val="24"/>
        </w:rPr>
      </w:pPr>
    </w:p>
    <w:p w14:paraId="10F56799">
      <w:pPr>
        <w:tabs>
          <w:tab w:val="left" w:pos="0"/>
          <w:tab w:val="left" w:pos="993"/>
          <w:tab w:val="left" w:pos="1134"/>
        </w:tabs>
        <w:adjustRightInd w:val="0"/>
        <w:snapToGrid w:val="0"/>
        <w:spacing w:line="360" w:lineRule="auto"/>
        <w:jc w:val="center"/>
        <w:rPr>
          <w:rFonts w:ascii="宋体" w:hAnsi="宋体"/>
          <w:b/>
          <w:snapToGrid w:val="0"/>
          <w:sz w:val="24"/>
        </w:rPr>
      </w:pPr>
    </w:p>
    <w:p w14:paraId="3E80A956">
      <w:pPr>
        <w:tabs>
          <w:tab w:val="left" w:pos="0"/>
          <w:tab w:val="left" w:pos="993"/>
          <w:tab w:val="left" w:pos="1134"/>
        </w:tabs>
        <w:adjustRightInd w:val="0"/>
        <w:snapToGrid w:val="0"/>
        <w:spacing w:line="360" w:lineRule="auto"/>
        <w:jc w:val="center"/>
        <w:rPr>
          <w:rFonts w:ascii="宋体" w:hAnsi="宋体"/>
          <w:b/>
          <w:snapToGrid w:val="0"/>
          <w:sz w:val="24"/>
        </w:rPr>
      </w:pPr>
    </w:p>
    <w:p w14:paraId="7E9F4A13">
      <w:pPr>
        <w:tabs>
          <w:tab w:val="left" w:pos="0"/>
          <w:tab w:val="left" w:pos="993"/>
          <w:tab w:val="left" w:pos="1134"/>
        </w:tabs>
        <w:adjustRightInd w:val="0"/>
        <w:snapToGrid w:val="0"/>
        <w:spacing w:line="360" w:lineRule="auto"/>
        <w:jc w:val="center"/>
        <w:rPr>
          <w:rFonts w:ascii="宋体" w:hAnsi="宋体"/>
          <w:b/>
          <w:snapToGrid w:val="0"/>
          <w:sz w:val="24"/>
        </w:rPr>
      </w:pPr>
    </w:p>
    <w:p w14:paraId="5BDD9FAE">
      <w:pPr>
        <w:pStyle w:val="4"/>
      </w:pPr>
    </w:p>
    <w:p w14:paraId="52ADCACD">
      <w:pPr>
        <w:pStyle w:val="2"/>
      </w:pPr>
    </w:p>
    <w:p w14:paraId="7605F26E">
      <w:pPr>
        <w:tabs>
          <w:tab w:val="left" w:pos="0"/>
          <w:tab w:val="left" w:pos="993"/>
          <w:tab w:val="left" w:pos="1134"/>
        </w:tabs>
        <w:adjustRightInd w:val="0"/>
        <w:snapToGrid w:val="0"/>
        <w:spacing w:line="360" w:lineRule="auto"/>
        <w:jc w:val="center"/>
        <w:rPr>
          <w:rFonts w:hint="eastAsia" w:ascii="宋体" w:hAnsi="宋体"/>
          <w:b/>
          <w:snapToGrid w:val="0"/>
          <w:sz w:val="24"/>
        </w:rPr>
      </w:pPr>
    </w:p>
    <w:p w14:paraId="7C871D81">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14:paraId="6A45ABEA">
      <w:pPr>
        <w:tabs>
          <w:tab w:val="left" w:pos="0"/>
          <w:tab w:val="left" w:pos="993"/>
          <w:tab w:val="left" w:pos="1134"/>
        </w:tabs>
        <w:adjustRightInd w:val="0"/>
        <w:snapToGrid w:val="0"/>
        <w:spacing w:line="360" w:lineRule="auto"/>
        <w:jc w:val="center"/>
        <w:rPr>
          <w:rFonts w:ascii="宋体" w:hAnsi="宋体"/>
          <w:b/>
          <w:snapToGrid w:val="0"/>
          <w:sz w:val="24"/>
        </w:rPr>
      </w:pPr>
    </w:p>
    <w:p w14:paraId="0C403818">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00" w:lineRule="exact"/>
        <w:ind w:firstLine="0" w:firstLineChars="0"/>
        <w:textAlignment w:val="auto"/>
        <w:rPr>
          <w:rFonts w:ascii="宋体" w:hAnsi="宋体"/>
          <w:b/>
          <w:snapToGrid w:val="0"/>
          <w:sz w:val="24"/>
        </w:rPr>
      </w:pPr>
      <w:r>
        <w:rPr>
          <w:rFonts w:hint="eastAsia" w:ascii="宋体" w:hAnsi="宋体"/>
          <w:b/>
          <w:snapToGrid w:val="0"/>
          <w:sz w:val="24"/>
        </w:rPr>
        <w:t>一、投标函</w:t>
      </w:r>
    </w:p>
    <w:p w14:paraId="401FC738">
      <w:pPr>
        <w:keepNext w:val="0"/>
        <w:keepLines w:val="0"/>
        <w:pageBreakBefore w:val="0"/>
        <w:widowControl w:val="0"/>
        <w:tabs>
          <w:tab w:val="left" w:pos="0"/>
          <w:tab w:val="left" w:pos="993"/>
        </w:tabs>
        <w:kinsoku/>
        <w:wordWrap/>
        <w:overflowPunct/>
        <w:topLinePunct w:val="0"/>
        <w:autoSpaceDE/>
        <w:autoSpaceDN/>
        <w:bidi w:val="0"/>
        <w:adjustRightInd w:val="0"/>
        <w:snapToGrid w:val="0"/>
        <w:spacing w:line="400" w:lineRule="exact"/>
        <w:ind w:firstLine="0" w:firstLineChars="0"/>
        <w:textAlignment w:val="auto"/>
        <w:rPr>
          <w:rFonts w:ascii="宋体" w:hAnsi="宋体"/>
          <w:b/>
          <w:snapToGrid w:val="0"/>
          <w:sz w:val="24"/>
        </w:rPr>
      </w:pPr>
      <w:r>
        <w:rPr>
          <w:rFonts w:hint="eastAsia" w:ascii="宋体" w:hAnsi="宋体"/>
          <w:b/>
          <w:snapToGrid w:val="0"/>
          <w:sz w:val="24"/>
        </w:rPr>
        <w:t>二、法人代表资格证书</w:t>
      </w:r>
    </w:p>
    <w:p w14:paraId="1EA37802">
      <w:pPr>
        <w:keepNext w:val="0"/>
        <w:keepLines w:val="0"/>
        <w:pageBreakBefore w:val="0"/>
        <w:widowControl w:val="0"/>
        <w:tabs>
          <w:tab w:val="left" w:pos="0"/>
          <w:tab w:val="left" w:pos="993"/>
        </w:tabs>
        <w:kinsoku/>
        <w:wordWrap/>
        <w:overflowPunct/>
        <w:topLinePunct w:val="0"/>
        <w:autoSpaceDE/>
        <w:autoSpaceDN/>
        <w:bidi w:val="0"/>
        <w:adjustRightInd w:val="0"/>
        <w:snapToGrid w:val="0"/>
        <w:spacing w:line="400" w:lineRule="exact"/>
        <w:ind w:firstLine="0" w:firstLineChars="0"/>
        <w:textAlignment w:val="auto"/>
        <w:rPr>
          <w:rFonts w:ascii="宋体" w:hAnsi="宋体"/>
          <w:b/>
          <w:snapToGrid w:val="0"/>
          <w:sz w:val="24"/>
        </w:rPr>
      </w:pPr>
      <w:r>
        <w:rPr>
          <w:rFonts w:hint="eastAsia" w:ascii="宋体" w:hAnsi="宋体"/>
          <w:b/>
          <w:snapToGrid w:val="0"/>
          <w:sz w:val="24"/>
        </w:rPr>
        <w:t>三、授权委托书</w:t>
      </w:r>
    </w:p>
    <w:p w14:paraId="25B2124D">
      <w:pPr>
        <w:keepNext w:val="0"/>
        <w:keepLines w:val="0"/>
        <w:pageBreakBefore w:val="0"/>
        <w:widowControl w:val="0"/>
        <w:tabs>
          <w:tab w:val="left" w:pos="0"/>
          <w:tab w:val="left" w:pos="993"/>
          <w:tab w:val="left" w:pos="1134"/>
        </w:tabs>
        <w:kinsoku/>
        <w:wordWrap/>
        <w:overflowPunct/>
        <w:topLinePunct w:val="0"/>
        <w:autoSpaceDE/>
        <w:autoSpaceDN/>
        <w:bidi w:val="0"/>
        <w:adjustRightInd w:val="0"/>
        <w:snapToGrid w:val="0"/>
        <w:spacing w:line="400" w:lineRule="exact"/>
        <w:ind w:firstLine="0" w:firstLineChars="0"/>
        <w:textAlignment w:val="auto"/>
        <w:rPr>
          <w:rFonts w:ascii="宋体" w:hAnsi="宋体"/>
          <w:b/>
          <w:snapToGrid w:val="0"/>
          <w:sz w:val="24"/>
        </w:rPr>
      </w:pPr>
      <w:r>
        <w:rPr>
          <w:rFonts w:hint="eastAsia" w:ascii="宋体" w:hAnsi="宋体"/>
          <w:b/>
          <w:snapToGrid w:val="0"/>
          <w:sz w:val="24"/>
        </w:rPr>
        <w:t>四、投标报价汇总表及其它报价表</w:t>
      </w:r>
    </w:p>
    <w:p w14:paraId="696F4A11">
      <w:pPr>
        <w:tabs>
          <w:tab w:val="left" w:pos="0"/>
          <w:tab w:val="left" w:pos="993"/>
        </w:tabs>
        <w:adjustRightInd w:val="0"/>
        <w:snapToGrid w:val="0"/>
        <w:spacing w:line="360" w:lineRule="auto"/>
        <w:ind w:firstLine="178" w:firstLineChars="74"/>
        <w:rPr>
          <w:rFonts w:ascii="宋体" w:hAnsi="宋体"/>
          <w:b/>
          <w:bCs/>
          <w:sz w:val="24"/>
        </w:rPr>
      </w:pPr>
    </w:p>
    <w:p w14:paraId="0C28A2F5">
      <w:pPr>
        <w:tabs>
          <w:tab w:val="left" w:pos="0"/>
          <w:tab w:val="left" w:pos="993"/>
          <w:tab w:val="left" w:pos="1134"/>
        </w:tabs>
        <w:adjustRightInd w:val="0"/>
        <w:snapToGrid w:val="0"/>
        <w:spacing w:line="360" w:lineRule="auto"/>
        <w:jc w:val="center"/>
        <w:rPr>
          <w:rFonts w:ascii="宋体" w:hAnsi="宋体"/>
          <w:b/>
          <w:snapToGrid w:val="0"/>
          <w:sz w:val="24"/>
        </w:rPr>
      </w:pPr>
    </w:p>
    <w:p w14:paraId="5A62322C">
      <w:pPr>
        <w:tabs>
          <w:tab w:val="left" w:pos="0"/>
          <w:tab w:val="left" w:pos="993"/>
          <w:tab w:val="left" w:pos="1134"/>
        </w:tabs>
        <w:adjustRightInd w:val="0"/>
        <w:snapToGrid w:val="0"/>
        <w:spacing w:line="360" w:lineRule="auto"/>
        <w:jc w:val="center"/>
        <w:rPr>
          <w:rFonts w:ascii="宋体" w:hAnsi="宋体"/>
          <w:b/>
          <w:snapToGrid w:val="0"/>
          <w:sz w:val="24"/>
        </w:rPr>
      </w:pPr>
    </w:p>
    <w:p w14:paraId="72753BB4">
      <w:pPr>
        <w:tabs>
          <w:tab w:val="left" w:pos="0"/>
          <w:tab w:val="left" w:pos="993"/>
          <w:tab w:val="left" w:pos="1134"/>
        </w:tabs>
        <w:adjustRightInd w:val="0"/>
        <w:snapToGrid w:val="0"/>
        <w:spacing w:line="360" w:lineRule="auto"/>
        <w:jc w:val="center"/>
        <w:rPr>
          <w:rFonts w:ascii="宋体" w:hAnsi="宋体"/>
          <w:b/>
          <w:snapToGrid w:val="0"/>
          <w:sz w:val="24"/>
        </w:rPr>
      </w:pPr>
    </w:p>
    <w:p w14:paraId="684060D5">
      <w:pPr>
        <w:tabs>
          <w:tab w:val="left" w:pos="0"/>
          <w:tab w:val="left" w:pos="993"/>
          <w:tab w:val="left" w:pos="1134"/>
        </w:tabs>
        <w:adjustRightInd w:val="0"/>
        <w:snapToGrid w:val="0"/>
        <w:spacing w:line="360" w:lineRule="auto"/>
        <w:jc w:val="center"/>
        <w:rPr>
          <w:rFonts w:ascii="宋体" w:hAnsi="宋体"/>
          <w:b/>
          <w:snapToGrid w:val="0"/>
          <w:sz w:val="24"/>
        </w:rPr>
      </w:pPr>
    </w:p>
    <w:p w14:paraId="28D6F722">
      <w:pPr>
        <w:tabs>
          <w:tab w:val="left" w:pos="0"/>
          <w:tab w:val="left" w:pos="993"/>
          <w:tab w:val="left" w:pos="1134"/>
        </w:tabs>
        <w:adjustRightInd w:val="0"/>
        <w:snapToGrid w:val="0"/>
        <w:spacing w:line="360" w:lineRule="auto"/>
        <w:jc w:val="center"/>
        <w:rPr>
          <w:rFonts w:ascii="宋体" w:hAnsi="宋体"/>
          <w:b/>
          <w:snapToGrid w:val="0"/>
          <w:sz w:val="24"/>
        </w:rPr>
      </w:pPr>
    </w:p>
    <w:p w14:paraId="77AEF3AF">
      <w:pPr>
        <w:tabs>
          <w:tab w:val="left" w:pos="0"/>
          <w:tab w:val="left" w:pos="993"/>
          <w:tab w:val="left" w:pos="1134"/>
        </w:tabs>
        <w:adjustRightInd w:val="0"/>
        <w:snapToGrid w:val="0"/>
        <w:spacing w:line="360" w:lineRule="auto"/>
        <w:jc w:val="center"/>
        <w:rPr>
          <w:rFonts w:ascii="宋体" w:hAnsi="宋体"/>
          <w:b/>
          <w:snapToGrid w:val="0"/>
          <w:sz w:val="24"/>
        </w:rPr>
      </w:pPr>
    </w:p>
    <w:p w14:paraId="210D3BAC">
      <w:pPr>
        <w:tabs>
          <w:tab w:val="left" w:pos="0"/>
          <w:tab w:val="left" w:pos="993"/>
          <w:tab w:val="left" w:pos="1134"/>
        </w:tabs>
        <w:adjustRightInd w:val="0"/>
        <w:snapToGrid w:val="0"/>
        <w:spacing w:line="360" w:lineRule="auto"/>
        <w:jc w:val="center"/>
        <w:rPr>
          <w:rFonts w:ascii="宋体" w:hAnsi="宋体"/>
          <w:b/>
          <w:snapToGrid w:val="0"/>
          <w:sz w:val="24"/>
        </w:rPr>
      </w:pPr>
    </w:p>
    <w:p w14:paraId="0C2F5EFD">
      <w:pPr>
        <w:tabs>
          <w:tab w:val="left" w:pos="0"/>
          <w:tab w:val="left" w:pos="993"/>
          <w:tab w:val="left" w:pos="1134"/>
        </w:tabs>
        <w:adjustRightInd w:val="0"/>
        <w:snapToGrid w:val="0"/>
        <w:spacing w:line="360" w:lineRule="auto"/>
        <w:jc w:val="center"/>
        <w:rPr>
          <w:rFonts w:ascii="宋体" w:hAnsi="宋体"/>
          <w:b/>
          <w:snapToGrid w:val="0"/>
          <w:sz w:val="24"/>
        </w:rPr>
      </w:pPr>
    </w:p>
    <w:p w14:paraId="04ACB2BC">
      <w:pPr>
        <w:tabs>
          <w:tab w:val="left" w:pos="0"/>
          <w:tab w:val="left" w:pos="993"/>
          <w:tab w:val="left" w:pos="1134"/>
        </w:tabs>
        <w:adjustRightInd w:val="0"/>
        <w:snapToGrid w:val="0"/>
        <w:spacing w:line="360" w:lineRule="auto"/>
        <w:jc w:val="center"/>
        <w:rPr>
          <w:rFonts w:ascii="宋体" w:hAnsi="宋体"/>
          <w:b/>
          <w:snapToGrid w:val="0"/>
          <w:sz w:val="24"/>
        </w:rPr>
      </w:pPr>
    </w:p>
    <w:p w14:paraId="4472AF1E">
      <w:pPr>
        <w:tabs>
          <w:tab w:val="left" w:pos="0"/>
          <w:tab w:val="left" w:pos="993"/>
          <w:tab w:val="left" w:pos="1134"/>
        </w:tabs>
        <w:adjustRightInd w:val="0"/>
        <w:snapToGrid w:val="0"/>
        <w:spacing w:line="360" w:lineRule="auto"/>
        <w:jc w:val="center"/>
        <w:rPr>
          <w:rFonts w:ascii="宋体" w:hAnsi="宋体"/>
          <w:b/>
          <w:snapToGrid w:val="0"/>
          <w:sz w:val="24"/>
        </w:rPr>
      </w:pPr>
    </w:p>
    <w:p w14:paraId="6B50DF3B">
      <w:pPr>
        <w:tabs>
          <w:tab w:val="left" w:pos="0"/>
          <w:tab w:val="left" w:pos="993"/>
          <w:tab w:val="left" w:pos="1134"/>
        </w:tabs>
        <w:adjustRightInd w:val="0"/>
        <w:snapToGrid w:val="0"/>
        <w:spacing w:line="360" w:lineRule="auto"/>
        <w:jc w:val="center"/>
        <w:rPr>
          <w:rFonts w:ascii="宋体" w:hAnsi="宋体"/>
          <w:b/>
          <w:snapToGrid w:val="0"/>
          <w:sz w:val="24"/>
        </w:rPr>
      </w:pPr>
    </w:p>
    <w:p w14:paraId="1403FFED">
      <w:pPr>
        <w:tabs>
          <w:tab w:val="left" w:pos="0"/>
          <w:tab w:val="left" w:pos="993"/>
          <w:tab w:val="left" w:pos="1134"/>
        </w:tabs>
        <w:adjustRightInd w:val="0"/>
        <w:snapToGrid w:val="0"/>
        <w:spacing w:line="360" w:lineRule="auto"/>
        <w:jc w:val="center"/>
        <w:rPr>
          <w:rFonts w:ascii="宋体" w:hAnsi="宋体"/>
          <w:b/>
          <w:snapToGrid w:val="0"/>
          <w:sz w:val="24"/>
        </w:rPr>
      </w:pPr>
    </w:p>
    <w:p w14:paraId="5D2C5B2F">
      <w:pPr>
        <w:pStyle w:val="6"/>
        <w:spacing w:line="360" w:lineRule="auto"/>
        <w:rPr>
          <w:rFonts w:hAnsi="宋体"/>
          <w:sz w:val="24"/>
        </w:rPr>
      </w:pPr>
    </w:p>
    <w:p w14:paraId="4A5A4B69">
      <w:pPr>
        <w:pStyle w:val="6"/>
        <w:spacing w:line="360" w:lineRule="auto"/>
        <w:rPr>
          <w:rFonts w:hAnsi="宋体"/>
          <w:sz w:val="24"/>
        </w:rPr>
      </w:pPr>
    </w:p>
    <w:p w14:paraId="28ED6059">
      <w:pPr>
        <w:pStyle w:val="6"/>
        <w:spacing w:line="360" w:lineRule="auto"/>
        <w:rPr>
          <w:rFonts w:hAnsi="宋体"/>
          <w:sz w:val="24"/>
        </w:rPr>
      </w:pPr>
    </w:p>
    <w:p w14:paraId="6689B8A8">
      <w:pPr>
        <w:pStyle w:val="6"/>
        <w:spacing w:line="360" w:lineRule="auto"/>
        <w:rPr>
          <w:rFonts w:hAnsi="宋体"/>
          <w:sz w:val="24"/>
        </w:rPr>
      </w:pPr>
    </w:p>
    <w:p w14:paraId="787D5634">
      <w:pPr>
        <w:pStyle w:val="6"/>
        <w:spacing w:line="360" w:lineRule="auto"/>
        <w:rPr>
          <w:rFonts w:hAnsi="宋体"/>
          <w:sz w:val="24"/>
        </w:rPr>
      </w:pPr>
    </w:p>
    <w:p w14:paraId="4A432808">
      <w:pPr>
        <w:pStyle w:val="6"/>
        <w:spacing w:line="360" w:lineRule="auto"/>
        <w:rPr>
          <w:rFonts w:hAnsi="宋体"/>
          <w:sz w:val="24"/>
        </w:rPr>
      </w:pPr>
    </w:p>
    <w:p w14:paraId="2D51702B">
      <w:pPr>
        <w:pStyle w:val="6"/>
        <w:spacing w:line="360" w:lineRule="auto"/>
        <w:rPr>
          <w:rFonts w:hAnsi="宋体"/>
          <w:sz w:val="24"/>
        </w:rPr>
      </w:pPr>
    </w:p>
    <w:p w14:paraId="39A8EE1B">
      <w:pPr>
        <w:pStyle w:val="6"/>
        <w:spacing w:line="360" w:lineRule="auto"/>
        <w:rPr>
          <w:rFonts w:hAnsi="宋体"/>
          <w:sz w:val="24"/>
        </w:rPr>
      </w:pPr>
    </w:p>
    <w:p w14:paraId="61C343A5">
      <w:pPr>
        <w:pStyle w:val="6"/>
        <w:spacing w:line="360" w:lineRule="auto"/>
        <w:rPr>
          <w:rFonts w:hAnsi="宋体"/>
          <w:b/>
          <w:bCs/>
          <w:sz w:val="24"/>
        </w:rPr>
      </w:pPr>
      <w:bookmarkStart w:id="651" w:name="_Toc31232"/>
      <w:bookmarkStart w:id="652" w:name="_Toc424397474"/>
      <w:bookmarkStart w:id="653" w:name="_Toc29648"/>
      <w:bookmarkStart w:id="654" w:name="_Toc22513"/>
    </w:p>
    <w:bookmarkEnd w:id="651"/>
    <w:bookmarkEnd w:id="652"/>
    <w:bookmarkEnd w:id="653"/>
    <w:bookmarkEnd w:id="654"/>
    <w:p w14:paraId="6A5614B0">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14:paraId="609F5BD9">
      <w:pPr>
        <w:pStyle w:val="11"/>
        <w:tabs>
          <w:tab w:val="left" w:pos="4185"/>
          <w:tab w:val="left" w:pos="4230"/>
          <w:tab w:val="left" w:pos="4260"/>
          <w:tab w:val="clear" w:pos="1832"/>
          <w:tab w:val="clear" w:pos="2748"/>
          <w:tab w:val="clear" w:pos="3664"/>
        </w:tabs>
        <w:spacing w:line="360" w:lineRule="auto"/>
        <w:ind w:firstLine="562" w:firstLineChars="200"/>
        <w:jc w:val="center"/>
        <w:rPr>
          <w:rFonts w:hint="eastAsia" w:ascii="宋体" w:hAnsi="宋体" w:eastAsia="宋体"/>
          <w:b/>
          <w:sz w:val="28"/>
          <w:szCs w:val="28"/>
        </w:rPr>
        <w:sectPr>
          <w:pgSz w:w="11907" w:h="16840"/>
          <w:pgMar w:top="1440" w:right="1080" w:bottom="1440" w:left="1080" w:header="567" w:footer="567" w:gutter="0"/>
          <w:pgBorders w:offsetFrom="page">
            <w:top w:val="none" w:sz="0" w:space="0"/>
            <w:left w:val="none" w:sz="0" w:space="0"/>
            <w:bottom w:val="none" w:sz="0" w:space="0"/>
            <w:right w:val="none" w:sz="0" w:space="0"/>
          </w:pgBorders>
          <w:pgNumType w:start="1"/>
          <w:cols w:space="720" w:num="1"/>
          <w:titlePg/>
          <w:docGrid w:linePitch="272" w:charSpace="0"/>
        </w:sectPr>
      </w:pPr>
    </w:p>
    <w:p w14:paraId="1E9E1233">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14:paraId="1D00FC20">
      <w:pPr>
        <w:pStyle w:val="11"/>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sz w:val="24"/>
        </w:rPr>
      </w:pPr>
    </w:p>
    <w:p w14:paraId="209D1F65">
      <w:pPr>
        <w:pStyle w:val="11"/>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14:paraId="663EFAC8">
      <w:pPr>
        <w:pStyle w:val="11"/>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sz w:val="21"/>
          <w:szCs w:val="21"/>
        </w:rPr>
      </w:pPr>
    </w:p>
    <w:p w14:paraId="0A665103">
      <w:pPr>
        <w:pStyle w:val="11"/>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14:paraId="389698E9">
      <w:pPr>
        <w:pStyle w:val="11"/>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14:paraId="1BF330BD">
      <w:pPr>
        <w:pStyle w:val="11"/>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14:paraId="655F7F0D">
      <w:pPr>
        <w:pStyle w:val="11"/>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③我们已详细审核全部招标文件，包括修改文件、参考资料及有关附件，完全理解上述文件并同意放弃对这方面有不明及误解的权利。</w:t>
      </w:r>
    </w:p>
    <w:p w14:paraId="7FE323EA">
      <w:pPr>
        <w:pStyle w:val="11"/>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14:paraId="1C0F052C">
      <w:pPr>
        <w:pStyle w:val="11"/>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⑤我们同意提供按照招标人可能要求的与其投标有关的任何数据或资料。我们完全理解招标人不一定授标给最低报价的承包人以及接受或拒绝某一投标。</w:t>
      </w:r>
    </w:p>
    <w:p w14:paraId="09A12CE1">
      <w:pPr>
        <w:pStyle w:val="11"/>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 w:val="21"/>
          <w:szCs w:val="21"/>
        </w:rPr>
      </w:pPr>
      <w:r>
        <w:rPr>
          <w:rFonts w:hint="eastAsia" w:ascii="宋体" w:hAnsi="宋体" w:eastAsia="宋体"/>
          <w:sz w:val="21"/>
          <w:szCs w:val="21"/>
        </w:rPr>
        <w:t>⑥如果我们的投标被接受，我们将履行招标文件规定的每一项要求，按期、按质、按量完成交货任务并承担相关责任。</w:t>
      </w:r>
    </w:p>
    <w:p w14:paraId="41E66D15">
      <w:pPr>
        <w:pStyle w:val="11"/>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 w:val="21"/>
          <w:szCs w:val="21"/>
        </w:rPr>
      </w:pPr>
      <w:r>
        <w:rPr>
          <w:rFonts w:hint="eastAsia" w:ascii="宋体" w:hAnsi="宋体" w:eastAsia="宋体"/>
          <w:sz w:val="21"/>
          <w:szCs w:val="21"/>
        </w:rPr>
        <w:t>⑦与投标有关的正式通讯地址为：</w:t>
      </w:r>
    </w:p>
    <w:p w14:paraId="54D718A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4"/>
        </w:rPr>
      </w:pPr>
      <w:r>
        <w:rPr>
          <w:rFonts w:hint="eastAsia"/>
          <w:sz w:val="21"/>
          <w:szCs w:val="24"/>
        </w:rPr>
        <w:t>地   址：</w:t>
      </w:r>
    </w:p>
    <w:p w14:paraId="13A5EEE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4"/>
        </w:rPr>
      </w:pPr>
      <w:r>
        <w:rPr>
          <w:rFonts w:hint="eastAsia"/>
          <w:sz w:val="21"/>
          <w:szCs w:val="24"/>
        </w:rPr>
        <w:t>电   话：</w:t>
      </w:r>
    </w:p>
    <w:p w14:paraId="2629D18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4"/>
        </w:rPr>
      </w:pPr>
      <w:r>
        <w:rPr>
          <w:rFonts w:hint="eastAsia"/>
          <w:sz w:val="21"/>
          <w:szCs w:val="24"/>
        </w:rPr>
        <w:t>传   真：</w:t>
      </w:r>
    </w:p>
    <w:p w14:paraId="5F1A3DB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4"/>
        </w:rPr>
      </w:pPr>
      <w:r>
        <w:rPr>
          <w:rFonts w:hint="eastAsia"/>
          <w:sz w:val="21"/>
          <w:szCs w:val="24"/>
        </w:rPr>
        <w:t>邮政编码：</w:t>
      </w:r>
    </w:p>
    <w:p w14:paraId="091A8E2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4"/>
        </w:rPr>
      </w:pPr>
      <w:r>
        <w:rPr>
          <w:rFonts w:hint="eastAsia"/>
          <w:sz w:val="21"/>
          <w:szCs w:val="24"/>
        </w:rPr>
        <w:t>承包人：</w:t>
      </w:r>
    </w:p>
    <w:p w14:paraId="72346C6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4"/>
        </w:rPr>
      </w:pPr>
      <w:r>
        <w:rPr>
          <w:rFonts w:hint="eastAsia"/>
          <w:sz w:val="21"/>
          <w:szCs w:val="24"/>
        </w:rPr>
        <w:t>公   章：</w:t>
      </w:r>
    </w:p>
    <w:p w14:paraId="461A76C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4"/>
        </w:rPr>
      </w:pPr>
      <w:r>
        <w:rPr>
          <w:rFonts w:hint="eastAsia"/>
          <w:sz w:val="21"/>
          <w:szCs w:val="24"/>
        </w:rPr>
        <w:t>承包人法定代表人或委托代理人</w:t>
      </w:r>
      <w:r>
        <w:rPr>
          <w:rFonts w:hint="eastAsia"/>
          <w:sz w:val="21"/>
          <w:szCs w:val="24"/>
          <w:lang w:eastAsia="zh-CN"/>
        </w:rPr>
        <w:t>（</w:t>
      </w:r>
      <w:r>
        <w:rPr>
          <w:rFonts w:hint="eastAsia" w:ascii="宋体" w:hAnsi="宋体"/>
          <w:sz w:val="21"/>
          <w:szCs w:val="21"/>
          <w:lang w:val="en-US" w:eastAsia="zh-CN"/>
        </w:rPr>
        <w:t>签字或盖章）</w:t>
      </w:r>
      <w:r>
        <w:rPr>
          <w:rFonts w:hint="eastAsia"/>
          <w:sz w:val="21"/>
          <w:szCs w:val="24"/>
        </w:rPr>
        <w:t>：</w:t>
      </w:r>
    </w:p>
    <w:p w14:paraId="2C5AE9C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4"/>
        </w:rPr>
      </w:pPr>
      <w:r>
        <w:rPr>
          <w:rFonts w:hint="eastAsia"/>
          <w:sz w:val="21"/>
          <w:szCs w:val="24"/>
        </w:rPr>
        <w:t>日   期：</w:t>
      </w:r>
    </w:p>
    <w:p w14:paraId="3B00E9E6">
      <w:pPr>
        <w:pStyle w:val="6"/>
        <w:adjustRightInd w:val="0"/>
        <w:snapToGrid w:val="0"/>
        <w:spacing w:line="360" w:lineRule="auto"/>
        <w:jc w:val="center"/>
        <w:rPr>
          <w:rFonts w:hAnsi="宋体"/>
          <w:sz w:val="24"/>
        </w:rPr>
      </w:pPr>
      <w:r>
        <w:rPr>
          <w:rFonts w:hAnsi="宋体"/>
          <w:sz w:val="24"/>
          <w:u w:val="single"/>
        </w:rPr>
        <w:br w:type="page"/>
      </w:r>
      <w:bookmarkStart w:id="655" w:name="_Toc424397475"/>
      <w:bookmarkStart w:id="656" w:name="_Toc5445"/>
      <w:bookmarkStart w:id="657" w:name="_Toc16339"/>
      <w:bookmarkStart w:id="658" w:name="_Toc7509578"/>
      <w:bookmarkStart w:id="659" w:name="_Toc11354"/>
      <w:bookmarkStart w:id="660" w:name="_Toc22093"/>
      <w:r>
        <w:rPr>
          <w:rFonts w:hint="eastAsia" w:hAnsi="宋体"/>
          <w:b/>
          <w:bCs/>
          <w:sz w:val="28"/>
          <w:szCs w:val="28"/>
        </w:rPr>
        <w:t>二、法定代表人资格书</w:t>
      </w:r>
      <w:bookmarkEnd w:id="655"/>
      <w:bookmarkEnd w:id="656"/>
      <w:r>
        <w:rPr>
          <w:rFonts w:hint="eastAsia" w:hAnsi="宋体"/>
          <w:b/>
          <w:bCs/>
          <w:sz w:val="28"/>
          <w:szCs w:val="28"/>
        </w:rPr>
        <w:t>及承诺书</w:t>
      </w:r>
      <w:bookmarkEnd w:id="657"/>
      <w:bookmarkEnd w:id="658"/>
      <w:bookmarkEnd w:id="659"/>
      <w:bookmarkEnd w:id="660"/>
    </w:p>
    <w:p w14:paraId="65D9C81B">
      <w:pPr>
        <w:pStyle w:val="6"/>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Ansi="宋体"/>
          <w:sz w:val="21"/>
          <w:szCs w:val="21"/>
        </w:rPr>
      </w:pPr>
      <w:r>
        <w:rPr>
          <w:rFonts w:hint="eastAsia" w:hAnsi="宋体"/>
          <w:sz w:val="21"/>
          <w:szCs w:val="21"/>
        </w:rPr>
        <w:t>单位名称：</w:t>
      </w:r>
    </w:p>
    <w:p w14:paraId="79A9D0F2">
      <w:pPr>
        <w:pStyle w:val="6"/>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Ansi="宋体"/>
          <w:sz w:val="21"/>
          <w:szCs w:val="21"/>
        </w:rPr>
      </w:pPr>
      <w:r>
        <w:rPr>
          <w:rFonts w:hint="eastAsia" w:hAnsi="宋体"/>
          <w:sz w:val="21"/>
          <w:szCs w:val="21"/>
        </w:rPr>
        <w:t>地址：</w:t>
      </w:r>
    </w:p>
    <w:p w14:paraId="56CC2D78">
      <w:pPr>
        <w:pStyle w:val="6"/>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Ansi="宋体"/>
          <w:sz w:val="21"/>
          <w:szCs w:val="21"/>
        </w:rPr>
      </w:pPr>
      <w:r>
        <w:rPr>
          <w:rFonts w:hint="eastAsia" w:hAnsi="宋体"/>
          <w:sz w:val="21"/>
          <w:szCs w:val="21"/>
        </w:rPr>
        <w:t>姓名：             性别：          年龄：          职务：</w:t>
      </w:r>
    </w:p>
    <w:p w14:paraId="3EE2D79E">
      <w:pPr>
        <w:pStyle w:val="6"/>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Ansi="宋体"/>
          <w:sz w:val="21"/>
          <w:szCs w:val="21"/>
        </w:rPr>
      </w:pPr>
      <w:r>
        <w:rPr>
          <w:rFonts w:hint="eastAsia" w:hAnsi="宋体"/>
          <w:sz w:val="21"/>
          <w:szCs w:val="21"/>
        </w:rPr>
        <w:t>系</w:t>
      </w:r>
      <w:r>
        <w:rPr>
          <w:rFonts w:hint="eastAsia" w:hAnsi="宋体"/>
          <w:sz w:val="21"/>
          <w:szCs w:val="21"/>
          <w:u w:val="single"/>
        </w:rPr>
        <w:t xml:space="preserve">                         </w:t>
      </w:r>
      <w:r>
        <w:rPr>
          <w:rFonts w:hint="eastAsia" w:hAnsi="宋体"/>
          <w:sz w:val="21"/>
          <w:szCs w:val="21"/>
        </w:rPr>
        <w:t xml:space="preserve"> 的法定代表人。为施工、竣工和保修</w:t>
      </w:r>
      <w:r>
        <w:rPr>
          <w:rFonts w:hint="eastAsia" w:hAnsi="宋体"/>
          <w:sz w:val="21"/>
          <w:szCs w:val="21"/>
          <w:u w:val="single"/>
        </w:rPr>
        <w:t xml:space="preserve">        </w:t>
      </w:r>
      <w:r>
        <w:rPr>
          <w:rFonts w:hint="eastAsia" w:hAnsi="宋体"/>
          <w:sz w:val="21"/>
          <w:szCs w:val="21"/>
        </w:rPr>
        <w:t>的工程，签署上述工程的投标文件、进行合同谈判、签署合同和处理与之有关的一切事务。</w:t>
      </w:r>
    </w:p>
    <w:p w14:paraId="50ADDD71">
      <w:pPr>
        <w:pStyle w:val="6"/>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Ansi="宋体"/>
          <w:sz w:val="21"/>
          <w:szCs w:val="21"/>
        </w:rPr>
      </w:pPr>
    </w:p>
    <w:p w14:paraId="5227ED33">
      <w:pPr>
        <w:pStyle w:val="6"/>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Ansi="宋体"/>
          <w:sz w:val="21"/>
          <w:szCs w:val="21"/>
        </w:rPr>
      </w:pPr>
      <w:r>
        <w:rPr>
          <w:rFonts w:hint="eastAsia" w:hAnsi="宋体"/>
          <w:sz w:val="21"/>
          <w:szCs w:val="21"/>
        </w:rPr>
        <w:t>特此证明。</w:t>
      </w:r>
    </w:p>
    <w:p w14:paraId="0C3C1877">
      <w:pPr>
        <w:pStyle w:val="6"/>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Ansi="宋体"/>
          <w:sz w:val="21"/>
          <w:szCs w:val="21"/>
        </w:rPr>
      </w:pPr>
      <w:r>
        <w:rPr>
          <w:rFonts w:hint="eastAsia" w:hAnsi="宋体"/>
          <w:sz w:val="21"/>
          <w:szCs w:val="21"/>
        </w:rPr>
        <w:t xml:space="preserve">                      </w:t>
      </w:r>
      <w:r>
        <w:rPr>
          <w:rFonts w:hint="eastAsia" w:hAnsi="宋体"/>
          <w:sz w:val="21"/>
          <w:szCs w:val="21"/>
          <w:lang w:val="en-US" w:eastAsia="zh-CN"/>
        </w:rPr>
        <w:t>投标人</w:t>
      </w:r>
      <w:r>
        <w:rPr>
          <w:rFonts w:hint="eastAsia" w:hAnsi="宋体"/>
          <w:sz w:val="21"/>
          <w:szCs w:val="21"/>
        </w:rPr>
        <w:t>：(盖章)</w:t>
      </w:r>
    </w:p>
    <w:p w14:paraId="7D92BF08">
      <w:pPr>
        <w:pStyle w:val="6"/>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Ansi="宋体"/>
          <w:sz w:val="21"/>
          <w:szCs w:val="21"/>
        </w:rPr>
      </w:pPr>
    </w:p>
    <w:p w14:paraId="55F73A64">
      <w:pPr>
        <w:pStyle w:val="6"/>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Ansi="宋体"/>
          <w:sz w:val="21"/>
          <w:szCs w:val="21"/>
        </w:rPr>
      </w:pPr>
      <w:r>
        <w:rPr>
          <w:rFonts w:hint="eastAsia" w:hAnsi="宋体"/>
          <w:sz w:val="21"/>
          <w:szCs w:val="21"/>
        </w:rPr>
        <w:t xml:space="preserve">                                       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14:paraId="556C9BD7">
      <w:pPr>
        <w:pStyle w:val="6"/>
        <w:adjustRightInd w:val="0"/>
        <w:snapToGrid w:val="0"/>
        <w:spacing w:line="360" w:lineRule="auto"/>
        <w:rPr>
          <w:rFonts w:hAnsi="宋体"/>
          <w:sz w:val="21"/>
          <w:szCs w:val="21"/>
        </w:rPr>
      </w:pPr>
    </w:p>
    <w:p w14:paraId="3407C52F">
      <w:pPr>
        <w:jc w:val="center"/>
        <w:rPr>
          <w:rFonts w:hint="eastAsia" w:ascii="宋体" w:hAnsi="宋体"/>
          <w:b w:val="0"/>
          <w:bCs/>
          <w:sz w:val="22"/>
          <w:szCs w:val="22"/>
          <w:lang w:val="en-US" w:eastAsia="zh-CN"/>
        </w:rPr>
      </w:pPr>
    </w:p>
    <w:p w14:paraId="2E8468FA">
      <w:pPr>
        <w:jc w:val="both"/>
        <w:rPr>
          <w:rFonts w:hint="eastAsia" w:ascii="宋体" w:hAnsi="宋体"/>
          <w:b w:val="0"/>
          <w:bCs/>
          <w:sz w:val="22"/>
          <w:szCs w:val="22"/>
          <w:lang w:val="en-US" w:eastAsia="zh-CN"/>
        </w:rPr>
      </w:pPr>
      <w:r>
        <w:rPr>
          <w:rFonts w:hint="eastAsia" w:ascii="宋体" w:hAnsi="宋体"/>
          <w:b w:val="0"/>
          <w:bCs/>
          <w:sz w:val="22"/>
          <w:szCs w:val="22"/>
          <w:lang w:val="en-US" w:eastAsia="zh-CN"/>
        </w:rPr>
        <w:t>附法定代表人身份证复印件（正反面）</w:t>
      </w:r>
      <w:bookmarkStart w:id="661" w:name="_Toc25746"/>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2"/>
      </w:tblGrid>
      <w:tr w14:paraId="580B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4981" w:type="dxa"/>
          </w:tcPr>
          <w:p w14:paraId="453A3CA2">
            <w:pPr>
              <w:jc w:val="center"/>
              <w:rPr>
                <w:rFonts w:hint="eastAsia" w:ascii="宋体" w:hAnsi="宋体"/>
                <w:b w:val="0"/>
                <w:bCs/>
                <w:sz w:val="22"/>
                <w:szCs w:val="22"/>
                <w:vertAlign w:val="baseline"/>
                <w:lang w:val="en-US" w:eastAsia="zh-CN"/>
              </w:rPr>
            </w:pPr>
          </w:p>
        </w:tc>
        <w:tc>
          <w:tcPr>
            <w:tcW w:w="4982" w:type="dxa"/>
          </w:tcPr>
          <w:p w14:paraId="4E6CC201">
            <w:pPr>
              <w:jc w:val="center"/>
              <w:rPr>
                <w:rFonts w:hint="eastAsia" w:ascii="宋体" w:hAnsi="宋体"/>
                <w:b w:val="0"/>
                <w:bCs/>
                <w:sz w:val="22"/>
                <w:szCs w:val="22"/>
                <w:vertAlign w:val="baseline"/>
                <w:lang w:val="en-US" w:eastAsia="zh-CN"/>
              </w:rPr>
            </w:pPr>
          </w:p>
        </w:tc>
      </w:tr>
    </w:tbl>
    <w:p w14:paraId="216D31A3">
      <w:pPr>
        <w:jc w:val="center"/>
        <w:rPr>
          <w:rFonts w:hint="eastAsia" w:ascii="宋体" w:hAnsi="宋体"/>
          <w:b w:val="0"/>
          <w:bCs/>
          <w:sz w:val="22"/>
          <w:szCs w:val="22"/>
          <w:lang w:val="en-US" w:eastAsia="zh-CN"/>
        </w:rPr>
        <w:sectPr>
          <w:pgSz w:w="11907" w:h="16840"/>
          <w:pgMar w:top="1440" w:right="1080" w:bottom="1440" w:left="1080" w:header="567" w:footer="567" w:gutter="0"/>
          <w:pgBorders w:offsetFrom="page">
            <w:top w:val="none" w:sz="0" w:space="0"/>
            <w:left w:val="none" w:sz="0" w:space="0"/>
            <w:bottom w:val="none" w:sz="0" w:space="0"/>
            <w:right w:val="none" w:sz="0" w:space="0"/>
          </w:pgBorders>
          <w:pgNumType w:start="1"/>
          <w:cols w:space="720" w:num="1"/>
          <w:titlePg/>
          <w:docGrid w:linePitch="272" w:charSpace="0"/>
        </w:sectPr>
      </w:pPr>
    </w:p>
    <w:p w14:paraId="6CBE1BD2">
      <w:pPr>
        <w:jc w:val="center"/>
        <w:rPr>
          <w:rFonts w:ascii="宋体" w:hAnsi="宋体"/>
          <w:b/>
          <w:sz w:val="28"/>
          <w:szCs w:val="28"/>
        </w:rPr>
      </w:pPr>
      <w:r>
        <w:rPr>
          <w:rFonts w:hint="eastAsia" w:ascii="宋体" w:hAnsi="宋体"/>
          <w:b/>
          <w:sz w:val="28"/>
          <w:szCs w:val="28"/>
        </w:rPr>
        <w:t>投标承诺书</w:t>
      </w:r>
      <w:bookmarkEnd w:id="661"/>
    </w:p>
    <w:p w14:paraId="5F5BF83F">
      <w:pPr>
        <w:jc w:val="center"/>
        <w:rPr>
          <w:rFonts w:ascii="宋体" w:hAnsi="宋体"/>
          <w:b/>
          <w:sz w:val="28"/>
          <w:szCs w:val="28"/>
        </w:rPr>
      </w:pPr>
    </w:p>
    <w:p w14:paraId="2929A853">
      <w:pPr>
        <w:jc w:val="center"/>
        <w:rPr>
          <w:rFonts w:ascii="宋体" w:hAnsi="宋体"/>
          <w:b/>
          <w:sz w:val="21"/>
          <w:szCs w:val="21"/>
        </w:rPr>
      </w:pPr>
    </w:p>
    <w:p w14:paraId="5CB35405">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14:paraId="4022E9DD">
      <w:pPr>
        <w:rPr>
          <w:rFonts w:ascii="宋体" w:hAnsi="宋体" w:cs="宋体"/>
          <w:b/>
          <w:sz w:val="21"/>
          <w:szCs w:val="21"/>
        </w:rPr>
      </w:pPr>
      <w:r>
        <w:rPr>
          <w:rFonts w:hint="eastAsia" w:ascii="宋体" w:hAnsi="宋体" w:cs="宋体"/>
          <w:b/>
          <w:sz w:val="21"/>
          <w:szCs w:val="21"/>
        </w:rPr>
        <w:t xml:space="preserve">     </w:t>
      </w:r>
    </w:p>
    <w:p w14:paraId="481FD164">
      <w:pPr>
        <w:rPr>
          <w:rFonts w:ascii="宋体" w:hAnsi="宋体" w:cs="宋体"/>
          <w:b/>
          <w:sz w:val="21"/>
          <w:szCs w:val="21"/>
        </w:rPr>
      </w:pPr>
      <w:r>
        <w:rPr>
          <w:rFonts w:hint="eastAsia" w:ascii="宋体" w:hAnsi="宋体" w:cs="宋体"/>
          <w:b/>
          <w:sz w:val="21"/>
          <w:szCs w:val="21"/>
        </w:rPr>
        <w:t xml:space="preserve">  郑重声明：</w:t>
      </w:r>
    </w:p>
    <w:p w14:paraId="0252A777">
      <w:pPr>
        <w:spacing w:line="360" w:lineRule="auto"/>
        <w:ind w:firstLine="411" w:firstLineChars="196"/>
        <w:rPr>
          <w:rFonts w:ascii="宋体" w:hAnsi="宋体" w:cs="宋体"/>
          <w:bCs/>
          <w:sz w:val="21"/>
          <w:szCs w:val="21"/>
        </w:rPr>
      </w:pPr>
    </w:p>
    <w:p w14:paraId="3BFF6906">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14:paraId="6C0F7C07">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w:t>
      </w:r>
      <w:r>
        <w:rPr>
          <w:rFonts w:hint="eastAsia" w:ascii="宋体" w:hAnsi="宋体" w:cs="宋体"/>
          <w:sz w:val="21"/>
          <w:szCs w:val="21"/>
          <w:u w:val="single"/>
          <w:lang w:eastAsia="zh-CN"/>
        </w:rPr>
        <w:t>〔2008〕58号</w:t>
      </w:r>
      <w:r>
        <w:rPr>
          <w:rFonts w:hint="eastAsia" w:ascii="宋体" w:hAnsi="宋体" w:cs="宋体"/>
          <w:sz w:val="21"/>
          <w:szCs w:val="21"/>
          <w:u w:val="single"/>
        </w:rPr>
        <w:t>文、常建规</w:t>
      </w:r>
      <w:r>
        <w:rPr>
          <w:rFonts w:hint="eastAsia" w:ascii="宋体" w:hAnsi="宋体" w:cs="宋体"/>
          <w:sz w:val="21"/>
          <w:szCs w:val="21"/>
          <w:u w:val="single"/>
          <w:lang w:eastAsia="zh-CN"/>
        </w:rPr>
        <w:t>〔2010〕13号</w:t>
      </w:r>
      <w:r>
        <w:rPr>
          <w:rFonts w:hint="eastAsia" w:ascii="宋体" w:hAnsi="宋体" w:cs="宋体"/>
          <w:sz w:val="21"/>
          <w:szCs w:val="21"/>
          <w:u w:val="single"/>
        </w:rPr>
        <w:t>文</w:t>
      </w:r>
      <w:r>
        <w:rPr>
          <w:rFonts w:hint="eastAsia" w:ascii="宋体" w:hAnsi="宋体" w:cs="宋体"/>
          <w:sz w:val="21"/>
          <w:szCs w:val="21"/>
        </w:rPr>
        <w:t>等相关文件、法律、法规、规章。如有违反上述文件的相关条款， 本单位愿接受本项目招标人、建设行政主管部门、其他相关部门依据上述文件作出的处理。</w:t>
      </w:r>
    </w:p>
    <w:p w14:paraId="5F21D04E">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14:paraId="31D762FF">
      <w:pPr>
        <w:spacing w:line="360" w:lineRule="auto"/>
        <w:ind w:firstLine="411" w:firstLineChars="196"/>
        <w:rPr>
          <w:rFonts w:ascii="宋体" w:hAnsi="宋体" w:cs="宋体"/>
          <w:sz w:val="21"/>
          <w:szCs w:val="21"/>
        </w:rPr>
      </w:pPr>
    </w:p>
    <w:p w14:paraId="58421B1A">
      <w:pPr>
        <w:spacing w:line="360" w:lineRule="auto"/>
        <w:ind w:firstLine="411" w:firstLineChars="196"/>
        <w:rPr>
          <w:rFonts w:ascii="宋体" w:hAnsi="宋体" w:cs="宋体"/>
          <w:sz w:val="21"/>
          <w:szCs w:val="21"/>
        </w:rPr>
      </w:pPr>
      <w:r>
        <w:rPr>
          <w:rFonts w:hint="eastAsia" w:ascii="宋体" w:hAnsi="宋体" w:cs="宋体"/>
          <w:sz w:val="21"/>
          <w:szCs w:val="21"/>
        </w:rPr>
        <w:t>公  章：</w:t>
      </w:r>
    </w:p>
    <w:p w14:paraId="60DD8527">
      <w:pPr>
        <w:spacing w:line="360" w:lineRule="auto"/>
        <w:ind w:firstLine="411" w:firstLineChars="196"/>
        <w:rPr>
          <w:rFonts w:ascii="宋体" w:hAnsi="宋体" w:cs="宋体"/>
          <w:sz w:val="21"/>
          <w:szCs w:val="21"/>
        </w:rPr>
      </w:pPr>
    </w:p>
    <w:p w14:paraId="4370CFA1">
      <w:pPr>
        <w:spacing w:line="360" w:lineRule="auto"/>
        <w:ind w:firstLine="411" w:firstLineChars="196"/>
        <w:rPr>
          <w:rFonts w:ascii="宋体" w:hAnsi="宋体" w:cs="宋体"/>
          <w:sz w:val="21"/>
          <w:szCs w:val="21"/>
        </w:rPr>
      </w:pPr>
    </w:p>
    <w:p w14:paraId="5AFB1793">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cs="宋体"/>
          <w:sz w:val="21"/>
          <w:szCs w:val="21"/>
          <w:lang w:eastAsia="zh-CN"/>
        </w:rPr>
        <w:t>（</w:t>
      </w:r>
      <w:r>
        <w:rPr>
          <w:rFonts w:hint="eastAsia" w:ascii="宋体" w:hAnsi="宋体"/>
          <w:sz w:val="21"/>
          <w:szCs w:val="21"/>
          <w:lang w:val="en-US" w:eastAsia="zh-CN"/>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14:paraId="3BB57F5F">
      <w:pPr>
        <w:spacing w:line="360" w:lineRule="auto"/>
        <w:ind w:firstLine="420" w:firstLineChars="200"/>
        <w:rPr>
          <w:rFonts w:ascii="宋体" w:hAnsi="宋体" w:cs="宋体"/>
          <w:sz w:val="21"/>
          <w:szCs w:val="21"/>
        </w:rPr>
      </w:pPr>
    </w:p>
    <w:p w14:paraId="51E8A7BA">
      <w:pPr>
        <w:spacing w:line="360" w:lineRule="auto"/>
        <w:ind w:firstLine="420" w:firstLineChars="200"/>
        <w:rPr>
          <w:rFonts w:ascii="宋体" w:hAnsi="宋体" w:cs="宋体"/>
          <w:sz w:val="21"/>
          <w:szCs w:val="21"/>
        </w:rPr>
      </w:pPr>
    </w:p>
    <w:p w14:paraId="31221EFA">
      <w:pPr>
        <w:pStyle w:val="6"/>
        <w:adjustRightInd w:val="0"/>
        <w:snapToGrid w:val="0"/>
        <w:spacing w:line="360" w:lineRule="auto"/>
        <w:ind w:firstLine="420" w:firstLineChars="200"/>
        <w:jc w:val="left"/>
        <w:rPr>
          <w:rFonts w:hAnsi="宋体"/>
          <w:sz w:val="24"/>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14:paraId="68850578">
      <w:pPr>
        <w:pStyle w:val="6"/>
        <w:adjustRightInd w:val="0"/>
        <w:snapToGrid w:val="0"/>
        <w:spacing w:line="360" w:lineRule="auto"/>
        <w:rPr>
          <w:rFonts w:hAnsi="宋体"/>
          <w:sz w:val="24"/>
        </w:rPr>
      </w:pPr>
    </w:p>
    <w:p w14:paraId="76170604">
      <w:pPr>
        <w:pStyle w:val="6"/>
        <w:adjustRightInd w:val="0"/>
        <w:snapToGrid w:val="0"/>
        <w:spacing w:line="360" w:lineRule="auto"/>
        <w:rPr>
          <w:rFonts w:hAnsi="宋体"/>
          <w:sz w:val="24"/>
        </w:rPr>
      </w:pPr>
    </w:p>
    <w:p w14:paraId="3DC5B8EC">
      <w:pPr>
        <w:pStyle w:val="6"/>
        <w:adjustRightInd w:val="0"/>
        <w:snapToGrid w:val="0"/>
        <w:spacing w:line="360" w:lineRule="auto"/>
        <w:ind w:firstLine="3840"/>
        <w:rPr>
          <w:rFonts w:hAnsi="宋体"/>
          <w:sz w:val="24"/>
        </w:rPr>
      </w:pPr>
      <w:bookmarkStart w:id="662" w:name="_Toc424397476"/>
      <w:bookmarkStart w:id="663" w:name="_Toc4433"/>
    </w:p>
    <w:p w14:paraId="7D2EB1C0">
      <w:pPr>
        <w:pStyle w:val="6"/>
        <w:adjustRightInd w:val="0"/>
        <w:snapToGrid w:val="0"/>
        <w:spacing w:line="360" w:lineRule="auto"/>
        <w:jc w:val="center"/>
        <w:rPr>
          <w:rFonts w:hAnsi="宋体"/>
          <w:sz w:val="24"/>
        </w:rPr>
      </w:pPr>
      <w:bookmarkStart w:id="664" w:name="_Toc24327"/>
      <w:bookmarkStart w:id="665" w:name="_Toc524"/>
      <w:r>
        <w:rPr>
          <w:rFonts w:hint="eastAsia" w:hAnsi="宋体"/>
          <w:sz w:val="24"/>
        </w:rPr>
        <w:br w:type="page"/>
      </w:r>
      <w:bookmarkStart w:id="666" w:name="_Toc11543"/>
      <w:bookmarkStart w:id="667" w:name="_Toc7509579"/>
      <w:bookmarkStart w:id="668" w:name="_Toc7838"/>
      <w:r>
        <w:rPr>
          <w:rFonts w:hint="eastAsia" w:hAnsi="宋体"/>
          <w:b/>
          <w:bCs/>
          <w:sz w:val="28"/>
          <w:szCs w:val="28"/>
        </w:rPr>
        <w:t>三、授权委托书</w:t>
      </w:r>
      <w:bookmarkEnd w:id="662"/>
      <w:bookmarkEnd w:id="663"/>
      <w:bookmarkEnd w:id="664"/>
      <w:bookmarkEnd w:id="665"/>
      <w:bookmarkEnd w:id="666"/>
      <w:bookmarkEnd w:id="667"/>
      <w:bookmarkEnd w:id="668"/>
    </w:p>
    <w:p w14:paraId="515D4F4F">
      <w:pPr>
        <w:pStyle w:val="6"/>
        <w:keepNext w:val="0"/>
        <w:keepLines w:val="0"/>
        <w:pageBreakBefore w:val="0"/>
        <w:widowControl w:val="0"/>
        <w:kinsoku/>
        <w:wordWrap/>
        <w:overflowPunct/>
        <w:topLinePunct w:val="0"/>
        <w:autoSpaceDE/>
        <w:autoSpaceDN/>
        <w:bidi w:val="0"/>
        <w:adjustRightInd w:val="0"/>
        <w:snapToGrid w:val="0"/>
        <w:spacing w:line="400" w:lineRule="exact"/>
        <w:ind w:left="0"/>
        <w:textAlignment w:val="auto"/>
        <w:rPr>
          <w:rFonts w:hAnsi="宋体"/>
          <w:sz w:val="21"/>
          <w:szCs w:val="21"/>
        </w:rPr>
      </w:pPr>
    </w:p>
    <w:p w14:paraId="39401558">
      <w:pPr>
        <w:pStyle w:val="6"/>
        <w:keepNext w:val="0"/>
        <w:keepLines w:val="0"/>
        <w:pageBreakBefore w:val="0"/>
        <w:widowControl w:val="0"/>
        <w:kinsoku/>
        <w:wordWrap/>
        <w:overflowPunct/>
        <w:topLinePunct w:val="0"/>
        <w:autoSpaceDE/>
        <w:autoSpaceDN/>
        <w:bidi w:val="0"/>
        <w:adjustRightInd w:val="0"/>
        <w:snapToGrid w:val="0"/>
        <w:spacing w:line="400" w:lineRule="exact"/>
        <w:ind w:left="0" w:firstLine="420"/>
        <w:textAlignment w:val="auto"/>
        <w:rPr>
          <w:rFonts w:hAnsi="宋体"/>
          <w:sz w:val="21"/>
          <w:szCs w:val="21"/>
        </w:rPr>
      </w:pPr>
      <w:r>
        <w:rPr>
          <w:rFonts w:hint="eastAsia" w:hAnsi="宋体"/>
          <w:sz w:val="21"/>
          <w:szCs w:val="21"/>
        </w:rPr>
        <w:t>本授权委托书声明：我</w:t>
      </w:r>
      <w:r>
        <w:rPr>
          <w:rFonts w:hint="eastAsia" w:hAnsi="宋体"/>
          <w:sz w:val="21"/>
          <w:szCs w:val="21"/>
          <w:u w:val="single"/>
        </w:rPr>
        <w:t xml:space="preserve">        </w:t>
      </w:r>
      <w:r>
        <w:rPr>
          <w:rFonts w:hint="eastAsia" w:hAnsi="宋体"/>
          <w:sz w:val="21"/>
          <w:szCs w:val="21"/>
        </w:rPr>
        <w:t xml:space="preserve"> (姓名)系</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u w:val="single"/>
        </w:rPr>
        <w:t xml:space="preserve">      </w:t>
      </w:r>
      <w:r>
        <w:rPr>
          <w:rFonts w:hint="eastAsia" w:hAnsi="宋体"/>
          <w:sz w:val="21"/>
          <w:szCs w:val="21"/>
        </w:rPr>
        <w:t xml:space="preserve">(承包人名称)的法定代表人，现授权委托 </w:t>
      </w:r>
      <w:r>
        <w:rPr>
          <w:rFonts w:hint="eastAsia" w:hAnsi="宋体"/>
          <w:sz w:val="21"/>
          <w:szCs w:val="21"/>
          <w:u w:val="single"/>
        </w:rPr>
        <w:t xml:space="preserve">           </w:t>
      </w:r>
      <w:r>
        <w:rPr>
          <w:rFonts w:hint="eastAsia" w:hAnsi="宋体"/>
          <w:sz w:val="21"/>
          <w:szCs w:val="21"/>
        </w:rPr>
        <w:t>（单位名称）的</w:t>
      </w:r>
      <w:r>
        <w:rPr>
          <w:rFonts w:hint="eastAsia" w:hAnsi="宋体"/>
          <w:sz w:val="21"/>
          <w:szCs w:val="21"/>
          <w:u w:val="single"/>
        </w:rPr>
        <w:t xml:space="preserve">        </w:t>
      </w:r>
      <w:r>
        <w:rPr>
          <w:rFonts w:hint="eastAsia" w:hAnsi="宋体"/>
          <w:sz w:val="21"/>
          <w:szCs w:val="21"/>
        </w:rPr>
        <w:t>(姓名)为我公司代理人，参加</w:t>
      </w:r>
      <w:r>
        <w:rPr>
          <w:rFonts w:hint="eastAsia" w:hAnsi="宋体"/>
          <w:sz w:val="21"/>
          <w:szCs w:val="21"/>
          <w:u w:val="single"/>
        </w:rPr>
        <w:t xml:space="preserve">       </w:t>
      </w:r>
      <w:r>
        <w:rPr>
          <w:rFonts w:hint="eastAsia" w:hAnsi="宋体"/>
          <w:sz w:val="21"/>
          <w:szCs w:val="21"/>
        </w:rPr>
        <w:t>(招标人)的</w:t>
      </w:r>
      <w:r>
        <w:rPr>
          <w:rFonts w:hint="eastAsia" w:hAnsi="宋体"/>
          <w:sz w:val="21"/>
          <w:szCs w:val="21"/>
          <w:u w:val="single"/>
        </w:rPr>
        <w:t xml:space="preserve">           </w:t>
      </w:r>
      <w:r>
        <w:rPr>
          <w:rFonts w:hint="eastAsia" w:hAnsi="宋体"/>
          <w:sz w:val="21"/>
          <w:szCs w:val="21"/>
        </w:rPr>
        <w:t>工程的投标活动。代理人在投标、开标、评标、合同谈判过程中所签署的一切文件和处理与之有关的一切事务，我均予以承认。</w:t>
      </w:r>
    </w:p>
    <w:p w14:paraId="24B4382B">
      <w:pPr>
        <w:pStyle w:val="6"/>
        <w:keepNext w:val="0"/>
        <w:keepLines w:val="0"/>
        <w:pageBreakBefore w:val="0"/>
        <w:widowControl w:val="0"/>
        <w:kinsoku/>
        <w:wordWrap/>
        <w:overflowPunct/>
        <w:topLinePunct w:val="0"/>
        <w:autoSpaceDE/>
        <w:autoSpaceDN/>
        <w:bidi w:val="0"/>
        <w:adjustRightInd w:val="0"/>
        <w:snapToGrid w:val="0"/>
        <w:spacing w:line="400" w:lineRule="exact"/>
        <w:ind w:left="0"/>
        <w:textAlignment w:val="auto"/>
        <w:rPr>
          <w:rFonts w:hAnsi="宋体"/>
          <w:sz w:val="21"/>
          <w:szCs w:val="21"/>
        </w:rPr>
      </w:pPr>
    </w:p>
    <w:p w14:paraId="4C669D21">
      <w:pPr>
        <w:pStyle w:val="6"/>
        <w:keepNext w:val="0"/>
        <w:keepLines w:val="0"/>
        <w:pageBreakBefore w:val="0"/>
        <w:widowControl w:val="0"/>
        <w:kinsoku/>
        <w:wordWrap/>
        <w:overflowPunct/>
        <w:topLinePunct w:val="0"/>
        <w:autoSpaceDE/>
        <w:autoSpaceDN/>
        <w:bidi w:val="0"/>
        <w:adjustRightInd w:val="0"/>
        <w:snapToGrid w:val="0"/>
        <w:spacing w:line="400" w:lineRule="exact"/>
        <w:ind w:left="420" w:leftChars="200" w:firstLine="0" w:firstLineChars="0"/>
        <w:textAlignment w:val="auto"/>
        <w:rPr>
          <w:rFonts w:hAnsi="宋体"/>
          <w:sz w:val="21"/>
          <w:szCs w:val="21"/>
        </w:rPr>
      </w:pPr>
      <w:r>
        <w:rPr>
          <w:rFonts w:hint="eastAsia" w:hAnsi="宋体"/>
          <w:sz w:val="21"/>
          <w:szCs w:val="21"/>
        </w:rPr>
        <w:t>代理人无转委权。特此委托。</w:t>
      </w:r>
      <w:r>
        <w:rPr>
          <w:rFonts w:hint="eastAsia" w:hAnsi="宋体"/>
          <w:sz w:val="21"/>
          <w:szCs w:val="21"/>
        </w:rPr>
        <w:cr/>
      </w:r>
      <w:r>
        <w:rPr>
          <w:rFonts w:hint="eastAsia" w:hAnsi="宋体"/>
          <w:sz w:val="21"/>
          <w:szCs w:val="21"/>
        </w:rPr>
        <w:t xml:space="preserve">代理人：         </w:t>
      </w:r>
      <w:r>
        <w:rPr>
          <w:rFonts w:hint="eastAsia" w:hAnsi="宋体"/>
          <w:sz w:val="21"/>
          <w:szCs w:val="21"/>
          <w:lang w:val="en-US" w:eastAsia="zh-CN"/>
        </w:rPr>
        <w:t xml:space="preserve">   </w:t>
      </w:r>
      <w:r>
        <w:rPr>
          <w:rFonts w:hint="eastAsia" w:hAnsi="宋体"/>
          <w:sz w:val="21"/>
          <w:szCs w:val="21"/>
        </w:rPr>
        <w:t xml:space="preserve"> 性别：                 年龄：</w:t>
      </w:r>
    </w:p>
    <w:p w14:paraId="58383847">
      <w:pPr>
        <w:pStyle w:val="6"/>
        <w:keepNext w:val="0"/>
        <w:keepLines w:val="0"/>
        <w:pageBreakBefore w:val="0"/>
        <w:widowControl w:val="0"/>
        <w:kinsoku/>
        <w:wordWrap/>
        <w:overflowPunct/>
        <w:topLinePunct w:val="0"/>
        <w:autoSpaceDE/>
        <w:autoSpaceDN/>
        <w:bidi w:val="0"/>
        <w:adjustRightInd w:val="0"/>
        <w:snapToGrid w:val="0"/>
        <w:spacing w:line="400" w:lineRule="exact"/>
        <w:ind w:left="0" w:firstLine="420"/>
        <w:textAlignment w:val="auto"/>
        <w:rPr>
          <w:rFonts w:hAnsi="宋体"/>
          <w:sz w:val="21"/>
          <w:szCs w:val="21"/>
        </w:rPr>
      </w:pPr>
      <w:r>
        <w:rPr>
          <w:rFonts w:hint="eastAsia" w:hAnsi="宋体"/>
          <w:sz w:val="21"/>
          <w:szCs w:val="21"/>
        </w:rPr>
        <w:t xml:space="preserve">单位：               部门：              </w:t>
      </w:r>
      <w:r>
        <w:rPr>
          <w:rFonts w:hint="eastAsia" w:hAnsi="宋体"/>
          <w:sz w:val="21"/>
          <w:szCs w:val="21"/>
          <w:lang w:val="en-US" w:eastAsia="zh-CN"/>
        </w:rPr>
        <w:t xml:space="preserve">  </w:t>
      </w:r>
      <w:r>
        <w:rPr>
          <w:rFonts w:hint="eastAsia" w:hAnsi="宋体"/>
          <w:sz w:val="21"/>
          <w:szCs w:val="21"/>
        </w:rPr>
        <w:t xml:space="preserve"> 职务：</w:t>
      </w:r>
    </w:p>
    <w:p w14:paraId="729AA104">
      <w:pPr>
        <w:pStyle w:val="6"/>
        <w:keepNext w:val="0"/>
        <w:keepLines w:val="0"/>
        <w:pageBreakBefore w:val="0"/>
        <w:widowControl w:val="0"/>
        <w:kinsoku/>
        <w:wordWrap/>
        <w:overflowPunct/>
        <w:topLinePunct w:val="0"/>
        <w:autoSpaceDE/>
        <w:autoSpaceDN/>
        <w:bidi w:val="0"/>
        <w:adjustRightInd w:val="0"/>
        <w:snapToGrid w:val="0"/>
        <w:spacing w:line="400" w:lineRule="exact"/>
        <w:ind w:left="0" w:firstLine="420"/>
        <w:textAlignment w:val="auto"/>
        <w:rPr>
          <w:rFonts w:hAnsi="宋体"/>
          <w:sz w:val="21"/>
          <w:szCs w:val="21"/>
        </w:rPr>
      </w:pPr>
      <w:r>
        <w:rPr>
          <w:rFonts w:hint="eastAsia" w:hAnsi="宋体"/>
          <w:sz w:val="21"/>
          <w:szCs w:val="21"/>
          <w:lang w:val="en-US" w:eastAsia="zh-CN"/>
        </w:rPr>
        <w:t>投标人</w:t>
      </w:r>
      <w:r>
        <w:rPr>
          <w:rFonts w:hint="eastAsia" w:hAnsi="宋体"/>
          <w:sz w:val="21"/>
          <w:szCs w:val="21"/>
        </w:rPr>
        <w:t>：(盖章)</w:t>
      </w:r>
    </w:p>
    <w:p w14:paraId="103D63DD">
      <w:pPr>
        <w:pStyle w:val="6"/>
        <w:keepNext w:val="0"/>
        <w:keepLines w:val="0"/>
        <w:pageBreakBefore w:val="0"/>
        <w:widowControl w:val="0"/>
        <w:kinsoku/>
        <w:wordWrap/>
        <w:overflowPunct/>
        <w:topLinePunct w:val="0"/>
        <w:autoSpaceDE/>
        <w:autoSpaceDN/>
        <w:bidi w:val="0"/>
        <w:adjustRightInd w:val="0"/>
        <w:snapToGrid w:val="0"/>
        <w:spacing w:line="400" w:lineRule="exact"/>
        <w:ind w:left="0" w:firstLine="420"/>
        <w:textAlignment w:val="auto"/>
        <w:rPr>
          <w:rFonts w:hAnsi="宋体"/>
          <w:sz w:val="21"/>
          <w:szCs w:val="21"/>
        </w:rPr>
      </w:pPr>
      <w:r>
        <w:rPr>
          <w:rFonts w:hint="eastAsia" w:hAnsi="宋体"/>
          <w:sz w:val="21"/>
          <w:szCs w:val="21"/>
        </w:rPr>
        <w:t>法定代表人：(签字或盖章)</w:t>
      </w:r>
    </w:p>
    <w:p w14:paraId="37C0692D">
      <w:pPr>
        <w:pStyle w:val="6"/>
        <w:keepNext w:val="0"/>
        <w:keepLines w:val="0"/>
        <w:pageBreakBefore w:val="0"/>
        <w:widowControl w:val="0"/>
        <w:kinsoku/>
        <w:wordWrap/>
        <w:overflowPunct/>
        <w:topLinePunct w:val="0"/>
        <w:autoSpaceDE/>
        <w:autoSpaceDN/>
        <w:bidi w:val="0"/>
        <w:adjustRightInd w:val="0"/>
        <w:snapToGrid w:val="0"/>
        <w:spacing w:line="400" w:lineRule="exact"/>
        <w:ind w:left="0" w:firstLine="420" w:firstLineChars="200"/>
        <w:textAlignment w:val="auto"/>
        <w:rPr>
          <w:rFonts w:hAnsi="宋体"/>
          <w:sz w:val="21"/>
          <w:szCs w:val="21"/>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年</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14:paraId="280C4AB0">
      <w:pPr>
        <w:spacing w:line="360" w:lineRule="auto"/>
        <w:jc w:val="center"/>
        <w:rPr>
          <w:rFonts w:ascii="宋体" w:hAnsi="宋体"/>
          <w:b/>
          <w:bCs/>
          <w:sz w:val="21"/>
          <w:szCs w:val="21"/>
        </w:rPr>
      </w:pPr>
    </w:p>
    <w:p w14:paraId="6CDB37F3">
      <w:pPr>
        <w:rPr>
          <w:rFonts w:ascii="宋体" w:hAnsi="宋体"/>
          <w:sz w:val="21"/>
          <w:szCs w:val="21"/>
        </w:rPr>
      </w:pPr>
    </w:p>
    <w:p w14:paraId="5B3FE76A">
      <w:pPr>
        <w:pStyle w:val="6"/>
        <w:adjustRightInd w:val="0"/>
        <w:snapToGrid w:val="0"/>
        <w:spacing w:line="360" w:lineRule="auto"/>
        <w:rPr>
          <w:rFonts w:hint="eastAsia" w:ascii="宋体" w:hAnsi="宋体"/>
          <w:b w:val="0"/>
          <w:bCs/>
          <w:sz w:val="22"/>
          <w:szCs w:val="22"/>
          <w:lang w:val="en-US" w:eastAsia="zh-CN"/>
        </w:rPr>
      </w:pPr>
      <w:bookmarkStart w:id="669" w:name="_Toc424397477"/>
      <w:bookmarkStart w:id="670" w:name="_Toc17859"/>
      <w:r>
        <w:rPr>
          <w:rFonts w:hint="eastAsia" w:ascii="宋体" w:hAnsi="宋体"/>
          <w:b w:val="0"/>
          <w:bCs/>
          <w:sz w:val="22"/>
          <w:szCs w:val="22"/>
          <w:lang w:val="en-US" w:eastAsia="zh-CN"/>
        </w:rPr>
        <w:t>附</w:t>
      </w:r>
      <w:r>
        <w:rPr>
          <w:rFonts w:hint="eastAsia" w:hAnsi="宋体"/>
          <w:sz w:val="21"/>
          <w:szCs w:val="21"/>
        </w:rPr>
        <w:t>代理人</w:t>
      </w:r>
      <w:r>
        <w:rPr>
          <w:rFonts w:hint="eastAsia" w:ascii="宋体" w:hAnsi="宋体"/>
          <w:b w:val="0"/>
          <w:bCs/>
          <w:sz w:val="22"/>
          <w:szCs w:val="22"/>
          <w:lang w:val="en-US" w:eastAsia="zh-CN"/>
        </w:rPr>
        <w:t>身份证复印件（正反面）</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2"/>
      </w:tblGrid>
      <w:tr w14:paraId="4C47A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4981" w:type="dxa"/>
          </w:tcPr>
          <w:p w14:paraId="77F47F32">
            <w:pPr>
              <w:jc w:val="center"/>
              <w:rPr>
                <w:rFonts w:hint="eastAsia" w:ascii="宋体" w:hAnsi="宋体"/>
                <w:b w:val="0"/>
                <w:bCs/>
                <w:sz w:val="22"/>
                <w:szCs w:val="22"/>
                <w:vertAlign w:val="baseline"/>
                <w:lang w:val="en-US" w:eastAsia="zh-CN"/>
              </w:rPr>
            </w:pPr>
          </w:p>
        </w:tc>
        <w:tc>
          <w:tcPr>
            <w:tcW w:w="4982" w:type="dxa"/>
          </w:tcPr>
          <w:p w14:paraId="1989E87E">
            <w:pPr>
              <w:jc w:val="center"/>
              <w:rPr>
                <w:rFonts w:hint="eastAsia" w:ascii="宋体" w:hAnsi="宋体"/>
                <w:b w:val="0"/>
                <w:bCs/>
                <w:sz w:val="22"/>
                <w:szCs w:val="22"/>
                <w:vertAlign w:val="baseline"/>
                <w:lang w:val="en-US" w:eastAsia="zh-CN"/>
              </w:rPr>
            </w:pPr>
          </w:p>
        </w:tc>
      </w:tr>
    </w:tbl>
    <w:p w14:paraId="55775A04">
      <w:pPr>
        <w:pStyle w:val="6"/>
        <w:adjustRightInd w:val="0"/>
        <w:snapToGrid w:val="0"/>
        <w:spacing w:line="360" w:lineRule="auto"/>
        <w:rPr>
          <w:rFonts w:hAnsi="宋体"/>
          <w:sz w:val="24"/>
        </w:rPr>
      </w:pPr>
      <w:r>
        <w:rPr>
          <w:rFonts w:hint="eastAsia" w:hAnsi="宋体"/>
          <w:sz w:val="24"/>
        </w:rPr>
        <w:br w:type="page"/>
      </w:r>
      <w:bookmarkStart w:id="671" w:name="_Toc398"/>
      <w:bookmarkStart w:id="672" w:name="_Toc897"/>
    </w:p>
    <w:p w14:paraId="7C1D2CBF">
      <w:pPr>
        <w:pStyle w:val="6"/>
        <w:adjustRightInd w:val="0"/>
        <w:snapToGrid w:val="0"/>
        <w:spacing w:line="360" w:lineRule="auto"/>
        <w:jc w:val="center"/>
        <w:rPr>
          <w:rFonts w:hAnsi="宋体"/>
          <w:b/>
          <w:bCs/>
          <w:sz w:val="28"/>
          <w:szCs w:val="28"/>
        </w:rPr>
      </w:pPr>
      <w:bookmarkStart w:id="673" w:name="_Toc7509580"/>
      <w:bookmarkStart w:id="674" w:name="_Toc28920"/>
      <w:bookmarkStart w:id="675" w:name="_Toc25272"/>
      <w:r>
        <w:rPr>
          <w:rFonts w:hint="eastAsia" w:hAnsi="宋体"/>
          <w:b/>
          <w:bCs/>
          <w:sz w:val="28"/>
          <w:szCs w:val="28"/>
        </w:rPr>
        <w:t>四、投标报价汇总表</w:t>
      </w:r>
      <w:bookmarkEnd w:id="669"/>
      <w:bookmarkEnd w:id="670"/>
      <w:bookmarkEnd w:id="671"/>
      <w:bookmarkEnd w:id="672"/>
      <w:bookmarkEnd w:id="673"/>
      <w:bookmarkEnd w:id="674"/>
      <w:bookmarkEnd w:id="675"/>
    </w:p>
    <w:p w14:paraId="6363BC16">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14:paraId="7181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14:paraId="78CCDD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1"/>
                <w:szCs w:val="21"/>
              </w:rPr>
            </w:pPr>
            <w:r>
              <w:rPr>
                <w:rFonts w:hint="eastAsia" w:ascii="宋体" w:hAnsi="宋体"/>
                <w:sz w:val="21"/>
                <w:szCs w:val="21"/>
              </w:rPr>
              <w:t>投标单位名称</w:t>
            </w:r>
          </w:p>
        </w:tc>
        <w:tc>
          <w:tcPr>
            <w:tcW w:w="7072" w:type="dxa"/>
            <w:gridSpan w:val="3"/>
            <w:vAlign w:val="center"/>
          </w:tcPr>
          <w:p w14:paraId="5D299F1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sz w:val="21"/>
                <w:szCs w:val="21"/>
              </w:rPr>
            </w:pPr>
          </w:p>
        </w:tc>
      </w:tr>
      <w:tr w14:paraId="542D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14:paraId="27A68F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1"/>
                <w:szCs w:val="21"/>
              </w:rPr>
            </w:pPr>
            <w:r>
              <w:rPr>
                <w:rFonts w:hint="eastAsia" w:ascii="宋体" w:hAnsi="宋体"/>
                <w:sz w:val="21"/>
                <w:szCs w:val="21"/>
              </w:rPr>
              <w:t>投标项目名称</w:t>
            </w:r>
          </w:p>
        </w:tc>
        <w:tc>
          <w:tcPr>
            <w:tcW w:w="7072" w:type="dxa"/>
            <w:gridSpan w:val="3"/>
            <w:vAlign w:val="center"/>
          </w:tcPr>
          <w:p w14:paraId="37431CFB">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sz w:val="21"/>
                <w:szCs w:val="21"/>
              </w:rPr>
            </w:pPr>
          </w:p>
        </w:tc>
      </w:tr>
      <w:tr w14:paraId="12B1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130" w:type="dxa"/>
            <w:vAlign w:val="center"/>
          </w:tcPr>
          <w:p w14:paraId="07C7C90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eastAsia="宋体"/>
                <w:sz w:val="21"/>
                <w:szCs w:val="21"/>
              </w:rPr>
            </w:pPr>
            <w:r>
              <w:rPr>
                <w:rFonts w:hint="eastAsia" w:ascii="宋体" w:hAnsi="宋体"/>
                <w:sz w:val="21"/>
                <w:szCs w:val="21"/>
              </w:rPr>
              <w:t>投标总价</w:t>
            </w:r>
          </w:p>
        </w:tc>
        <w:tc>
          <w:tcPr>
            <w:tcW w:w="2838" w:type="dxa"/>
            <w:vAlign w:val="center"/>
          </w:tcPr>
          <w:p w14:paraId="37F5B96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sz w:val="21"/>
                <w:szCs w:val="21"/>
              </w:rPr>
            </w:pPr>
          </w:p>
        </w:tc>
        <w:tc>
          <w:tcPr>
            <w:tcW w:w="1800" w:type="dxa"/>
            <w:vAlign w:val="center"/>
          </w:tcPr>
          <w:p w14:paraId="31BAD94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sz w:val="21"/>
                <w:szCs w:val="21"/>
              </w:rPr>
            </w:pPr>
            <w:r>
              <w:rPr>
                <w:rFonts w:hint="eastAsia" w:ascii="宋体" w:hAnsi="宋体"/>
                <w:sz w:val="21"/>
                <w:szCs w:val="21"/>
              </w:rPr>
              <w:t>投标工期</w:t>
            </w:r>
          </w:p>
        </w:tc>
        <w:tc>
          <w:tcPr>
            <w:tcW w:w="2434" w:type="dxa"/>
            <w:vAlign w:val="center"/>
          </w:tcPr>
          <w:p w14:paraId="24F5B7D6">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sz w:val="21"/>
                <w:szCs w:val="21"/>
              </w:rPr>
            </w:pPr>
          </w:p>
        </w:tc>
      </w:tr>
      <w:tr w14:paraId="5FF94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2130" w:type="dxa"/>
            <w:vAlign w:val="center"/>
          </w:tcPr>
          <w:p w14:paraId="4682AC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sz w:val="21"/>
                <w:szCs w:val="21"/>
              </w:rPr>
            </w:pPr>
            <w:r>
              <w:rPr>
                <w:rFonts w:hint="eastAsia" w:ascii="宋体" w:hAnsi="宋体"/>
                <w:sz w:val="21"/>
                <w:szCs w:val="21"/>
              </w:rPr>
              <w:t>投标质量等级</w:t>
            </w:r>
          </w:p>
        </w:tc>
        <w:tc>
          <w:tcPr>
            <w:tcW w:w="2838" w:type="dxa"/>
            <w:vAlign w:val="center"/>
          </w:tcPr>
          <w:p w14:paraId="3CADADE6">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sz w:val="21"/>
                <w:szCs w:val="21"/>
              </w:rPr>
            </w:pPr>
          </w:p>
        </w:tc>
        <w:tc>
          <w:tcPr>
            <w:tcW w:w="1800" w:type="dxa"/>
            <w:vAlign w:val="center"/>
          </w:tcPr>
          <w:p w14:paraId="1ADDDF99">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sz w:val="21"/>
                <w:szCs w:val="21"/>
              </w:rPr>
            </w:pPr>
            <w:r>
              <w:rPr>
                <w:rFonts w:hint="eastAsia" w:ascii="宋体" w:hAnsi="宋体"/>
                <w:sz w:val="21"/>
                <w:szCs w:val="21"/>
              </w:rPr>
              <w:t>项目负责人</w:t>
            </w:r>
          </w:p>
        </w:tc>
        <w:tc>
          <w:tcPr>
            <w:tcW w:w="2434" w:type="dxa"/>
            <w:vAlign w:val="center"/>
          </w:tcPr>
          <w:p w14:paraId="118AAF62">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sz w:val="21"/>
                <w:szCs w:val="21"/>
              </w:rPr>
            </w:pPr>
          </w:p>
        </w:tc>
      </w:tr>
    </w:tbl>
    <w:p w14:paraId="5FFE48C2">
      <w:pPr>
        <w:spacing w:line="360" w:lineRule="auto"/>
        <w:rPr>
          <w:rFonts w:ascii="宋体" w:hAnsi="宋体"/>
          <w:sz w:val="21"/>
          <w:szCs w:val="21"/>
        </w:rPr>
      </w:pPr>
    </w:p>
    <w:p w14:paraId="187A95C9">
      <w:pPr>
        <w:spacing w:line="360" w:lineRule="auto"/>
        <w:rPr>
          <w:rFonts w:ascii="宋体" w:hAnsi="宋体"/>
          <w:sz w:val="21"/>
          <w:szCs w:val="21"/>
        </w:rPr>
      </w:pPr>
    </w:p>
    <w:p w14:paraId="3D01AA29">
      <w:pPr>
        <w:spacing w:line="360" w:lineRule="auto"/>
        <w:rPr>
          <w:rFonts w:ascii="宋体" w:hAnsi="宋体"/>
          <w:sz w:val="21"/>
          <w:szCs w:val="21"/>
        </w:rPr>
      </w:pPr>
    </w:p>
    <w:p w14:paraId="152CEE5A">
      <w:pPr>
        <w:spacing w:line="360" w:lineRule="auto"/>
        <w:rPr>
          <w:rFonts w:ascii="宋体" w:hAnsi="宋体"/>
          <w:sz w:val="21"/>
          <w:szCs w:val="21"/>
        </w:rPr>
      </w:pPr>
      <w:r>
        <w:rPr>
          <w:rFonts w:hint="eastAsia" w:ascii="宋体" w:hAnsi="宋体"/>
          <w:sz w:val="21"/>
          <w:szCs w:val="21"/>
        </w:rPr>
        <w:t>投标人（盖章）：</w:t>
      </w:r>
    </w:p>
    <w:p w14:paraId="7B88FABC">
      <w:pPr>
        <w:spacing w:line="360" w:lineRule="auto"/>
        <w:rPr>
          <w:rFonts w:ascii="宋体" w:hAnsi="宋体"/>
          <w:sz w:val="21"/>
          <w:szCs w:val="21"/>
        </w:rPr>
      </w:pPr>
      <w:r>
        <w:rPr>
          <w:rFonts w:hint="eastAsia" w:ascii="宋体" w:hAnsi="宋体"/>
          <w:sz w:val="21"/>
          <w:szCs w:val="21"/>
        </w:rPr>
        <w:t>法定代表人或委托代理人（</w:t>
      </w:r>
      <w:r>
        <w:rPr>
          <w:rFonts w:hint="eastAsia" w:ascii="宋体" w:hAnsi="宋体"/>
          <w:sz w:val="21"/>
          <w:szCs w:val="21"/>
          <w:lang w:val="en-US" w:eastAsia="zh-CN"/>
        </w:rPr>
        <w:t>签字或盖章</w:t>
      </w:r>
      <w:r>
        <w:rPr>
          <w:rFonts w:hint="eastAsia" w:ascii="宋体" w:hAnsi="宋体"/>
          <w:sz w:val="21"/>
          <w:szCs w:val="21"/>
        </w:rPr>
        <w:t>）：</w:t>
      </w:r>
    </w:p>
    <w:p w14:paraId="6519EF92">
      <w:pPr>
        <w:spacing w:line="360" w:lineRule="auto"/>
        <w:rPr>
          <w:rFonts w:ascii="宋体" w:hAnsi="宋体"/>
          <w:sz w:val="21"/>
          <w:szCs w:val="21"/>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14:paraId="5EE17B7E">
      <w:pPr>
        <w:spacing w:line="360" w:lineRule="auto"/>
        <w:jc w:val="center"/>
        <w:rPr>
          <w:rFonts w:ascii="宋体" w:hAnsi="宋体"/>
          <w:b/>
          <w:bCs/>
          <w:sz w:val="24"/>
        </w:rPr>
      </w:pPr>
    </w:p>
    <w:p w14:paraId="3473B5E9">
      <w:pPr>
        <w:spacing w:line="360" w:lineRule="auto"/>
        <w:jc w:val="center"/>
        <w:rPr>
          <w:rFonts w:ascii="宋体" w:hAnsi="宋体"/>
          <w:b/>
          <w:bCs/>
          <w:sz w:val="24"/>
        </w:rPr>
      </w:pPr>
    </w:p>
    <w:p w14:paraId="0DFE056B">
      <w:pPr>
        <w:spacing w:line="360" w:lineRule="auto"/>
        <w:jc w:val="center"/>
        <w:rPr>
          <w:rFonts w:hint="eastAsia" w:ascii="宋体" w:hAnsi="宋体" w:eastAsiaTheme="minorEastAsia"/>
          <w:b/>
          <w:bCs/>
          <w:sz w:val="24"/>
          <w:lang w:eastAsia="zh-CN"/>
        </w:rPr>
      </w:pPr>
      <w:r>
        <w:rPr>
          <w:rFonts w:hint="eastAsia" w:ascii="宋体" w:hAnsi="宋体"/>
          <w:b/>
          <w:bCs/>
          <w:sz w:val="24"/>
        </w:rPr>
        <w:t>2.其他报价表</w:t>
      </w:r>
      <w:r>
        <w:rPr>
          <w:rFonts w:hint="eastAsia" w:ascii="宋体" w:hAnsi="宋体"/>
          <w:b/>
          <w:bCs/>
          <w:sz w:val="24"/>
          <w:lang w:eastAsia="zh-CN"/>
        </w:rPr>
        <w:t>，根据工程量清单及最高投标限价编制</w:t>
      </w:r>
    </w:p>
    <w:p w14:paraId="4DCFEC04">
      <w:pPr>
        <w:spacing w:line="360" w:lineRule="auto"/>
        <w:jc w:val="center"/>
        <w:rPr>
          <w:rFonts w:hAnsi="宋体"/>
          <w:sz w:val="24"/>
          <w:u w:val="single"/>
        </w:rPr>
      </w:pPr>
      <w:r>
        <w:rPr>
          <w:rFonts w:ascii="宋体" w:hAnsi="宋体"/>
          <w:b/>
          <w:bCs/>
          <w:sz w:val="24"/>
        </w:rPr>
        <w:br w:type="page"/>
      </w:r>
    </w:p>
    <w:p w14:paraId="77D02100">
      <w:pPr>
        <w:pStyle w:val="2"/>
        <w:ind w:firstLine="0" w:firstLineChars="0"/>
        <w:jc w:val="center"/>
        <w:rPr>
          <w:sz w:val="44"/>
          <w:szCs w:val="44"/>
        </w:rPr>
      </w:pPr>
      <w:bookmarkStart w:id="676" w:name="_Toc21070"/>
      <w:bookmarkStart w:id="677" w:name="_Toc6343"/>
      <w:bookmarkStart w:id="678" w:name="_Toc14252"/>
      <w:bookmarkStart w:id="679" w:name="_Toc17834"/>
      <w:r>
        <w:rPr>
          <w:rFonts w:hint="eastAsia"/>
          <w:sz w:val="28"/>
          <w:szCs w:val="28"/>
        </w:rPr>
        <w:t>第</w:t>
      </w:r>
      <w:r>
        <w:rPr>
          <w:rFonts w:hint="eastAsia"/>
          <w:sz w:val="28"/>
          <w:szCs w:val="28"/>
          <w:lang w:val="en-US" w:eastAsia="zh-CN"/>
        </w:rPr>
        <w:t>五</w:t>
      </w:r>
      <w:r>
        <w:rPr>
          <w:rFonts w:hint="eastAsia"/>
          <w:sz w:val="28"/>
          <w:szCs w:val="28"/>
        </w:rPr>
        <w:t>章 评 标 细 则</w:t>
      </w:r>
      <w:bookmarkEnd w:id="676"/>
      <w:bookmarkEnd w:id="677"/>
      <w:bookmarkEnd w:id="678"/>
      <w:bookmarkEnd w:id="679"/>
    </w:p>
    <w:p w14:paraId="58A9FACC">
      <w:pPr>
        <w:keepNext w:val="0"/>
        <w:keepLines w:val="0"/>
        <w:pageBreakBefore w:val="0"/>
        <w:widowControl w:val="0"/>
        <w:kinsoku/>
        <w:wordWrap/>
        <w:overflowPunct/>
        <w:topLinePunct w:val="0"/>
        <w:bidi w:val="0"/>
        <w:snapToGrid/>
        <w:spacing w:line="400" w:lineRule="exact"/>
        <w:ind w:firstLine="413" w:firstLineChars="196"/>
        <w:textAlignment w:val="auto"/>
        <w:rPr>
          <w:rFonts w:hint="eastAsia" w:ascii="宋体" w:hAnsi="宋体" w:eastAsia="宋体" w:cs="宋体"/>
          <w:b/>
          <w:bCs/>
          <w:sz w:val="21"/>
          <w:szCs w:val="21"/>
        </w:rPr>
      </w:pPr>
      <w:r>
        <w:rPr>
          <w:rFonts w:hint="eastAsia" w:ascii="宋体" w:hAnsi="宋体" w:eastAsia="宋体" w:cs="宋体"/>
          <w:b/>
          <w:sz w:val="21"/>
          <w:szCs w:val="21"/>
        </w:rPr>
        <w:t>一、技术标：</w:t>
      </w:r>
      <w:r>
        <w:rPr>
          <w:rFonts w:hint="eastAsia" w:ascii="宋体" w:hAnsi="宋体" w:eastAsia="宋体" w:cs="宋体"/>
          <w:sz w:val="21"/>
          <w:szCs w:val="21"/>
        </w:rPr>
        <w:t>（不需要）</w:t>
      </w:r>
    </w:p>
    <w:p w14:paraId="7B7F6940">
      <w:pPr>
        <w:keepNext w:val="0"/>
        <w:keepLines w:val="0"/>
        <w:pageBreakBefore w:val="0"/>
        <w:widowControl w:val="0"/>
        <w:kinsoku/>
        <w:wordWrap/>
        <w:overflowPunct/>
        <w:topLinePunct w:val="0"/>
        <w:bidi w:val="0"/>
        <w:snapToGrid/>
        <w:spacing w:line="400" w:lineRule="exact"/>
        <w:ind w:firstLine="422" w:firstLineChars="200"/>
        <w:textAlignment w:val="auto"/>
        <w:rPr>
          <w:rFonts w:hint="eastAsia" w:ascii="宋体" w:hAnsi="宋体" w:eastAsia="宋体" w:cs="宋体"/>
          <w:b/>
          <w:sz w:val="21"/>
          <w:szCs w:val="21"/>
        </w:rPr>
      </w:pPr>
      <w:r>
        <w:rPr>
          <w:rFonts w:hint="eastAsia" w:ascii="宋体" w:hAnsi="宋体" w:eastAsia="宋体" w:cs="宋体"/>
          <w:b/>
          <w:bCs/>
          <w:sz w:val="21"/>
          <w:szCs w:val="21"/>
        </w:rPr>
        <w:t>二、商务标评审：</w:t>
      </w:r>
    </w:p>
    <w:p w14:paraId="3DE7941B">
      <w:pPr>
        <w:keepNext w:val="0"/>
        <w:keepLines w:val="0"/>
        <w:pageBreakBefore w:val="0"/>
        <w:widowControl w:val="0"/>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1. 符合性审查，确定有效投标报价。 </w:t>
      </w:r>
    </w:p>
    <w:p w14:paraId="748CBA53">
      <w:pPr>
        <w:keepNext w:val="0"/>
        <w:keepLines w:val="0"/>
        <w:pageBreakBefore w:val="0"/>
        <w:widowControl w:val="0"/>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2. 凡符合招标文件、招标答疑纪要等有关招标要求，并且在招标控制总价以下的投标报价均为有效投标报价。高于招标控制价的投标报价为废标。 </w:t>
      </w:r>
    </w:p>
    <w:p w14:paraId="51327C36">
      <w:pPr>
        <w:keepNext w:val="0"/>
        <w:keepLines w:val="0"/>
        <w:pageBreakBefore w:val="0"/>
        <w:widowControl w:val="0"/>
        <w:tabs>
          <w:tab w:val="left" w:pos="720"/>
        </w:tabs>
        <w:kinsoku/>
        <w:wordWrap/>
        <w:overflowPunct/>
        <w:topLinePunct w:val="0"/>
        <w:bidi w:val="0"/>
        <w:snapToGrid/>
        <w:spacing w:line="400" w:lineRule="exact"/>
        <w:ind w:left="-94" w:leftChars="-45" w:firstLine="527" w:firstLineChars="250"/>
        <w:textAlignment w:val="auto"/>
        <w:rPr>
          <w:rFonts w:hint="eastAsia" w:ascii="宋体" w:hAnsi="宋体" w:eastAsia="宋体" w:cs="宋体"/>
          <w:b/>
          <w:sz w:val="21"/>
          <w:szCs w:val="21"/>
        </w:rPr>
      </w:pPr>
      <w:r>
        <w:rPr>
          <w:rFonts w:hint="eastAsia" w:ascii="宋体" w:hAnsi="宋体" w:eastAsia="宋体" w:cs="宋体"/>
          <w:b/>
          <w:sz w:val="21"/>
          <w:szCs w:val="21"/>
        </w:rPr>
        <w:t>3. 投标报价总价得分（100分）：</w:t>
      </w:r>
    </w:p>
    <w:p w14:paraId="3B7A432C">
      <w:pPr>
        <w:keepNext w:val="0"/>
        <w:keepLines w:val="0"/>
        <w:pageBreakBefore w:val="0"/>
        <w:widowControl w:val="0"/>
        <w:kinsoku/>
        <w:wordWrap/>
        <w:overflowPunct/>
        <w:topLinePunct w:val="0"/>
        <w:bidi w:val="0"/>
        <w:snapToGrid/>
        <w:spacing w:line="400" w:lineRule="exact"/>
        <w:ind w:firstLine="480"/>
        <w:textAlignment w:val="auto"/>
        <w:rPr>
          <w:rFonts w:hint="eastAsia" w:ascii="宋体" w:hAnsi="宋体" w:eastAsia="宋体" w:cs="宋体"/>
          <w:b/>
          <w:bCs/>
          <w:sz w:val="21"/>
          <w:szCs w:val="21"/>
        </w:rPr>
      </w:pPr>
      <w:r>
        <w:rPr>
          <w:rFonts w:hint="eastAsia" w:ascii="宋体" w:hAnsi="宋体" w:eastAsia="宋体" w:cs="宋体"/>
          <w:b/>
          <w:sz w:val="21"/>
          <w:szCs w:val="21"/>
        </w:rPr>
        <w:t>方法</w:t>
      </w:r>
      <w:r>
        <w:rPr>
          <w:rFonts w:hint="eastAsia" w:ascii="宋体" w:hAnsi="宋体" w:eastAsia="宋体" w:cs="宋体"/>
          <w:b/>
          <w:sz w:val="21"/>
          <w:szCs w:val="21"/>
          <w:lang w:eastAsia="zh-CN"/>
        </w:rPr>
        <w:t>二：</w:t>
      </w:r>
      <w:r>
        <w:rPr>
          <w:rFonts w:hint="eastAsia" w:ascii="宋体" w:hAnsi="宋体" w:eastAsia="宋体" w:cs="宋体"/>
          <w:sz w:val="21"/>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w:t>
      </w:r>
      <w:r>
        <w:rPr>
          <w:rFonts w:hint="eastAsia" w:ascii="宋体" w:hAnsi="宋体" w:eastAsia="宋体" w:cs="宋体"/>
          <w:b/>
          <w:sz w:val="21"/>
          <w:szCs w:val="21"/>
        </w:rPr>
        <w:t>Q1的取值范围为65%、70%、75%、80%、85%）；K1 的取值范围为 95%、96%、97%、98%；K2 的取值为100%。</w:t>
      </w:r>
      <w:r>
        <w:rPr>
          <w:rFonts w:hint="eastAsia" w:ascii="宋体" w:hAnsi="宋体" w:eastAsia="宋体" w:cs="宋体"/>
          <w:sz w:val="21"/>
          <w:szCs w:val="21"/>
        </w:rPr>
        <w:t>Q1</w:t>
      </w:r>
      <w:r>
        <w:rPr>
          <w:rFonts w:hint="eastAsia" w:ascii="宋体" w:hAnsi="宋体" w:eastAsia="宋体" w:cs="宋体"/>
          <w:sz w:val="21"/>
          <w:szCs w:val="21"/>
          <w:lang w:eastAsia="zh-CN"/>
        </w:rPr>
        <w:t>、</w:t>
      </w:r>
      <w:r>
        <w:rPr>
          <w:rFonts w:hint="eastAsia" w:ascii="宋体" w:hAnsi="宋体" w:eastAsia="宋体" w:cs="宋体"/>
          <w:sz w:val="21"/>
          <w:szCs w:val="21"/>
        </w:rPr>
        <w:t>K1 值在</w:t>
      </w:r>
      <w:r>
        <w:rPr>
          <w:rFonts w:hint="eastAsia" w:ascii="宋体" w:hAnsi="宋体" w:eastAsia="宋体" w:cs="宋体"/>
          <w:sz w:val="21"/>
          <w:szCs w:val="21"/>
          <w:lang w:val="en-US" w:eastAsia="zh-CN"/>
        </w:rPr>
        <w:t>清标</w:t>
      </w:r>
      <w:r>
        <w:rPr>
          <w:rFonts w:hint="eastAsia" w:ascii="宋体" w:hAnsi="宋体" w:eastAsia="宋体" w:cs="宋体"/>
          <w:sz w:val="21"/>
          <w:szCs w:val="21"/>
        </w:rPr>
        <w:t>后由</w:t>
      </w:r>
      <w:r>
        <w:rPr>
          <w:rFonts w:hint="eastAsia" w:ascii="宋体" w:hAnsi="宋体" w:eastAsia="宋体" w:cs="宋体"/>
          <w:b/>
          <w:bCs/>
          <w:sz w:val="21"/>
          <w:szCs w:val="21"/>
          <w:lang w:val="en-US" w:eastAsia="zh-CN"/>
        </w:rPr>
        <w:t>投标人</w:t>
      </w:r>
      <w:r>
        <w:rPr>
          <w:rFonts w:hint="eastAsia" w:ascii="宋体" w:hAnsi="宋体" w:eastAsia="宋体" w:cs="宋体"/>
          <w:sz w:val="21"/>
          <w:szCs w:val="21"/>
        </w:rPr>
        <w:t>推选的代表随机抽取确定。等于评标基准价得最高分，并以此为基准价确定其他投标人的价格得分：投标价格高于该基准价的，每高1%扣0.9分；投标价格低于该基准价的，每低1%扣0.6分。</w:t>
      </w:r>
      <w:r>
        <w:rPr>
          <w:rFonts w:hint="eastAsia" w:ascii="宋体" w:hAnsi="宋体" w:eastAsia="宋体" w:cs="宋体"/>
          <w:b/>
          <w:sz w:val="21"/>
          <w:szCs w:val="21"/>
        </w:rPr>
        <w:t>[中间用插入法</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保留两位小数</w:t>
      </w:r>
      <w:r>
        <w:rPr>
          <w:rFonts w:hint="eastAsia" w:ascii="宋体" w:hAnsi="宋体" w:eastAsia="宋体" w:cs="宋体"/>
          <w:b/>
          <w:sz w:val="21"/>
          <w:szCs w:val="21"/>
        </w:rPr>
        <w:t>]</w:t>
      </w:r>
      <w:r>
        <w:rPr>
          <w:rFonts w:hint="eastAsia" w:ascii="宋体" w:hAnsi="宋体" w:eastAsia="宋体" w:cs="宋体"/>
          <w:sz w:val="21"/>
          <w:szCs w:val="21"/>
        </w:rPr>
        <w:t>。</w:t>
      </w:r>
    </w:p>
    <w:p w14:paraId="7ADCA92B">
      <w:pPr>
        <w:keepNext w:val="0"/>
        <w:keepLines w:val="0"/>
        <w:pageBreakBefore w:val="0"/>
        <w:widowControl w:val="0"/>
        <w:kinsoku/>
        <w:wordWrap/>
        <w:overflowPunct/>
        <w:topLinePunct w:val="0"/>
        <w:bidi w:val="0"/>
        <w:snapToGrid/>
        <w:spacing w:line="400" w:lineRule="exact"/>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三、定标 </w:t>
      </w:r>
    </w:p>
    <w:p w14:paraId="5758C51F">
      <w:pPr>
        <w:keepNext w:val="0"/>
        <w:keepLines w:val="0"/>
        <w:pageBreakBefore w:val="0"/>
        <w:widowControl w:val="0"/>
        <w:kinsoku/>
        <w:wordWrap/>
        <w:overflowPunct/>
        <w:topLinePunct w:val="0"/>
        <w:autoSpaceDE w:val="0"/>
        <w:autoSpaceDN w:val="0"/>
        <w:bidi w:val="0"/>
        <w:adjustRightInd w:val="0"/>
        <w:snapToGrid/>
        <w:spacing w:line="400" w:lineRule="exact"/>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 xml:space="preserve">（1）各投标单位最终得分=投标报价总价得分； </w:t>
      </w:r>
    </w:p>
    <w:p w14:paraId="39C00EDC">
      <w:pPr>
        <w:keepNext w:val="0"/>
        <w:keepLines w:val="0"/>
        <w:pageBreakBefore w:val="0"/>
        <w:widowControl w:val="0"/>
        <w:kinsoku/>
        <w:wordWrap/>
        <w:overflowPunct/>
        <w:topLinePunct w:val="0"/>
        <w:autoSpaceDE w:val="0"/>
        <w:autoSpaceDN w:val="0"/>
        <w:bidi w:val="0"/>
        <w:adjustRightInd w:val="0"/>
        <w:snapToGrid/>
        <w:spacing w:line="400" w:lineRule="exact"/>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 xml:space="preserve">（2）在所有有效投标文件中得分最高的投标单位为第一中标候选人，其他依次为第二、三中标候选人。 </w:t>
      </w:r>
    </w:p>
    <w:p w14:paraId="1D7B4001">
      <w:pPr>
        <w:keepNext w:val="0"/>
        <w:keepLines w:val="0"/>
        <w:pageBreakBefore w:val="0"/>
        <w:widowControl w:val="0"/>
        <w:tabs>
          <w:tab w:val="left" w:pos="720"/>
        </w:tabs>
        <w:kinsoku/>
        <w:wordWrap/>
        <w:overflowPunct/>
        <w:topLinePunct w:val="0"/>
        <w:bidi w:val="0"/>
        <w:snapToGrid/>
        <w:spacing w:line="400" w:lineRule="exact"/>
        <w:ind w:left="-94" w:leftChars="-45" w:firstLine="420" w:firstLineChars="200"/>
        <w:textAlignment w:val="auto"/>
        <w:rPr>
          <w:rFonts w:hint="eastAsia" w:ascii="宋体" w:hAnsi="宋体" w:eastAsia="宋体" w:cs="宋体"/>
          <w:b/>
          <w:bCs/>
          <w:sz w:val="21"/>
          <w:szCs w:val="21"/>
        </w:rPr>
      </w:pPr>
      <w:r>
        <w:rPr>
          <w:rFonts w:hint="eastAsia" w:ascii="宋体" w:hAnsi="宋体" w:eastAsia="宋体" w:cs="宋体"/>
          <w:sz w:val="21"/>
          <w:szCs w:val="21"/>
        </w:rPr>
        <w:t>（3）如有两家或两家以上投标单位得分相同且为最高分，则确定投标报价低的单位为第一中标候选人，若报价也相同，则按照送达标书签到的顺序抽签确定第一中标候选人。</w:t>
      </w:r>
    </w:p>
    <w:p w14:paraId="50710293">
      <w:pPr>
        <w:keepNext w:val="0"/>
        <w:keepLines w:val="0"/>
        <w:pageBreakBefore w:val="0"/>
        <w:widowControl w:val="0"/>
        <w:kinsoku/>
        <w:wordWrap/>
        <w:overflowPunct/>
        <w:topLinePunct w:val="0"/>
        <w:bidi w:val="0"/>
        <w:snapToGrid/>
        <w:spacing w:line="4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注：开标、评标、定标流程</w:t>
      </w:r>
    </w:p>
    <w:p w14:paraId="130EC118">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sz w:val="21"/>
          <w:szCs w:val="21"/>
        </w:rPr>
      </w:pPr>
      <w:r>
        <w:rPr>
          <w:rFonts w:hint="eastAsia" w:ascii="宋体" w:hAnsi="宋体" w:eastAsia="宋体" w:cs="宋体"/>
          <w:b/>
          <w:bCs/>
          <w:sz w:val="21"/>
          <w:szCs w:val="21"/>
        </w:rPr>
        <w:t xml:space="preserve">    </w:t>
      </w:r>
      <w:r>
        <w:rPr>
          <w:rFonts w:hint="eastAsia" w:ascii="宋体" w:hAnsi="宋体" w:eastAsia="宋体" w:cs="宋体"/>
          <w:sz w:val="21"/>
          <w:szCs w:val="21"/>
        </w:rPr>
        <w:t>投标人员身份核验--投标文件密封检查--资审材料--投标文件唱标、清标--评分办法及相应系数抽取--定标。</w:t>
      </w:r>
    </w:p>
    <w:p w14:paraId="35CD7CDA">
      <w:pPr>
        <w:pStyle w:val="19"/>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提醒：</w:t>
      </w:r>
    </w:p>
    <w:p w14:paraId="18F30665">
      <w:pPr>
        <w:keepNext w:val="0"/>
        <w:keepLines w:val="0"/>
        <w:pageBreakBefore w:val="0"/>
        <w:widowControl w:val="0"/>
        <w:kinsoku/>
        <w:wordWrap/>
        <w:overflowPunct/>
        <w:topLinePunct w:val="0"/>
        <w:bidi w:val="0"/>
        <w:snapToGrid/>
        <w:spacing w:line="400" w:lineRule="exact"/>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 xml:space="preserve">1、凡涉及投标单位无故离开开标会议室导致其未参加评分办法及相应系数抽取此类质疑等一概不予受理。 </w:t>
      </w:r>
    </w:p>
    <w:p w14:paraId="188D0FAF">
      <w:pPr>
        <w:keepNext w:val="0"/>
        <w:keepLines w:val="0"/>
        <w:pageBreakBefore w:val="0"/>
        <w:widowControl w:val="0"/>
        <w:kinsoku/>
        <w:wordWrap/>
        <w:overflowPunct/>
        <w:topLinePunct w:val="0"/>
        <w:bidi w:val="0"/>
        <w:snapToGrid/>
        <w:spacing w:line="400" w:lineRule="exact"/>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2、根据苏建招办</w:t>
      </w:r>
      <w:r>
        <w:rPr>
          <w:rFonts w:hint="eastAsia" w:ascii="宋体" w:hAnsi="宋体" w:eastAsia="宋体" w:cs="宋体"/>
          <w:b/>
          <w:sz w:val="21"/>
          <w:szCs w:val="21"/>
          <w:lang w:eastAsia="zh-CN"/>
        </w:rPr>
        <w:t>〔2017〕7号</w:t>
      </w:r>
      <w:r>
        <w:rPr>
          <w:rFonts w:hint="eastAsia" w:ascii="宋体" w:hAnsi="宋体" w:eastAsia="宋体" w:cs="宋体"/>
          <w:b/>
          <w:sz w:val="21"/>
          <w:szCs w:val="21"/>
        </w:rPr>
        <w:t>文“省招标办关于印发《江苏省房屋建筑和市政基础设施工程施工招标评标入围、报价评审和预选招标规则》的通知”，本项目评标入围方法招标人采用方法一：全部入围。 进入评标入围环节的投标人全部进入后续评标程序。</w:t>
      </w:r>
    </w:p>
    <w:p w14:paraId="1C72FED3">
      <w:pPr>
        <w:keepNext w:val="0"/>
        <w:keepLines w:val="0"/>
        <w:pageBreakBefore w:val="0"/>
        <w:widowControl w:val="0"/>
        <w:kinsoku/>
        <w:wordWrap/>
        <w:overflowPunct/>
        <w:topLinePunct w:val="0"/>
        <w:bidi w:val="0"/>
        <w:snapToGrid/>
        <w:spacing w:line="400" w:lineRule="exact"/>
        <w:ind w:firstLine="480"/>
        <w:textAlignment w:val="auto"/>
        <w:rPr>
          <w:rFonts w:hint="eastAsia" w:ascii="宋体" w:hAnsi="宋体" w:eastAsia="宋体" w:cs="宋体"/>
          <w:sz w:val="21"/>
          <w:szCs w:val="21"/>
        </w:rPr>
      </w:pPr>
      <w:r>
        <w:rPr>
          <w:rFonts w:hint="eastAsia" w:ascii="宋体" w:hAnsi="宋体" w:eastAsia="宋体" w:cs="宋体"/>
          <w:b/>
          <w:sz w:val="21"/>
          <w:szCs w:val="21"/>
        </w:rPr>
        <w:t>3、评标结束后，无论是否出现招投标当事人异议、投诉以及评委评审和计算错误情形，评标基准价均不重新计算。</w:t>
      </w:r>
    </w:p>
    <w:sectPr>
      <w:pgSz w:w="11907" w:h="16840"/>
      <w:pgMar w:top="1440" w:right="1080" w:bottom="1440" w:left="1080" w:header="567" w:footer="567" w:gutter="0"/>
      <w:pgBorders w:offsetFrom="page">
        <w:top w:val="none" w:sz="0" w:space="0"/>
        <w:left w:val="none" w:sz="0" w:space="0"/>
        <w:bottom w:val="none" w:sz="0" w:space="0"/>
        <w:right w:val="none" w:sz="0" w:space="0"/>
      </w:pgBorders>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79213">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08E3CE">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808E3CE">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1493A">
    <w:pPr>
      <w:pStyle w:val="8"/>
      <w:framePr w:wrap="around" w:vAnchor="text" w:hAnchor="margin" w:xAlign="center" w:y="1"/>
      <w:rPr>
        <w:rStyle w:val="16"/>
      </w:rPr>
    </w:pPr>
    <w:r>
      <w:fldChar w:fldCharType="begin"/>
    </w:r>
    <w:r>
      <w:rPr>
        <w:rStyle w:val="16"/>
      </w:rPr>
      <w:instrText xml:space="preserve">PAGE  </w:instrText>
    </w:r>
    <w:r>
      <w:fldChar w:fldCharType="end"/>
    </w:r>
  </w:p>
  <w:p w14:paraId="32385E04">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7FECD">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D9C64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BD9C64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C4CF2">
    <w:pPr>
      <w:pStyle w:val="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8771A4">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28771A4">
                    <w:pPr>
                      <w:pStyle w:val="8"/>
                    </w:pPr>
                    <w:r>
                      <w:fldChar w:fldCharType="begin"/>
                    </w:r>
                    <w:r>
                      <w:instrText xml:space="preserve"> PAGE  \* MERGEFORMAT </w:instrText>
                    </w:r>
                    <w:r>
                      <w:fldChar w:fldCharType="separate"/>
                    </w:r>
                    <w:r>
                      <w:t>36</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0FFF5">
    <w:pPr>
      <w:pStyle w:val="8"/>
      <w:tabs>
        <w:tab w:val="left" w:pos="6090"/>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6B3C0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D6B3C0F">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1EAD3">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5FF142"/>
    <w:multiLevelType w:val="singleLevel"/>
    <w:tmpl w:val="F05FF142"/>
    <w:lvl w:ilvl="0" w:tentative="0">
      <w:start w:val="3"/>
      <w:numFmt w:val="chineseCounting"/>
      <w:suff w:val="space"/>
      <w:lvlText w:val="第%1章"/>
      <w:lvlJc w:val="left"/>
      <w:rPr>
        <w:rFonts w:hint="eastAsia"/>
      </w:rPr>
    </w:lvl>
  </w:abstractNum>
  <w:abstractNum w:abstractNumId="1">
    <w:nsid w:val="1F7E6838"/>
    <w:multiLevelType w:val="singleLevel"/>
    <w:tmpl w:val="1F7E6838"/>
    <w:lvl w:ilvl="0" w:tentative="0">
      <w:start w:val="1"/>
      <w:numFmt w:val="decimal"/>
      <w:suff w:val="nothing"/>
      <w:lvlText w:val="%1、"/>
      <w:lvlJc w:val="left"/>
    </w:lvl>
  </w:abstractNum>
  <w:abstractNum w:abstractNumId="2">
    <w:nsid w:val="2C4CB0F1"/>
    <w:multiLevelType w:val="singleLevel"/>
    <w:tmpl w:val="2C4CB0F1"/>
    <w:lvl w:ilvl="0" w:tentative="0">
      <w:start w:val="1"/>
      <w:numFmt w:val="decimal"/>
      <w:suff w:val="nothing"/>
      <w:lvlText w:val="%1、"/>
      <w:lvlJc w:val="left"/>
    </w:lvl>
  </w:abstractNum>
  <w:abstractNum w:abstractNumId="3">
    <w:nsid w:val="56DCCC8E"/>
    <w:multiLevelType w:val="singleLevel"/>
    <w:tmpl w:val="56DCCC8E"/>
    <w:lvl w:ilvl="0" w:tentative="0">
      <w:start w:val="2"/>
      <w:numFmt w:val="decimal"/>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5MmM2NzdiMzE2Y2Q3ZWFkMjJiZDBjNDNjMDYzNTUifQ=="/>
  </w:docVars>
  <w:rsids>
    <w:rsidRoot w:val="04210478"/>
    <w:rsid w:val="00026F1D"/>
    <w:rsid w:val="000F2BFA"/>
    <w:rsid w:val="00103897"/>
    <w:rsid w:val="00122245"/>
    <w:rsid w:val="001503B1"/>
    <w:rsid w:val="00187605"/>
    <w:rsid w:val="001E40FB"/>
    <w:rsid w:val="00294959"/>
    <w:rsid w:val="002B34E0"/>
    <w:rsid w:val="002E3B66"/>
    <w:rsid w:val="00366BD2"/>
    <w:rsid w:val="004928A0"/>
    <w:rsid w:val="004A2F49"/>
    <w:rsid w:val="004D2AD0"/>
    <w:rsid w:val="0050717B"/>
    <w:rsid w:val="00523F52"/>
    <w:rsid w:val="00590ECA"/>
    <w:rsid w:val="0059210E"/>
    <w:rsid w:val="00624B60"/>
    <w:rsid w:val="00651DE6"/>
    <w:rsid w:val="006D221E"/>
    <w:rsid w:val="008D2785"/>
    <w:rsid w:val="00910410"/>
    <w:rsid w:val="00921652"/>
    <w:rsid w:val="00966294"/>
    <w:rsid w:val="00982E9B"/>
    <w:rsid w:val="009C7D86"/>
    <w:rsid w:val="009D0B7C"/>
    <w:rsid w:val="00B76C8D"/>
    <w:rsid w:val="00C4286A"/>
    <w:rsid w:val="00CF62B8"/>
    <w:rsid w:val="00D4519B"/>
    <w:rsid w:val="00DF1CB0"/>
    <w:rsid w:val="00E27A19"/>
    <w:rsid w:val="00E93164"/>
    <w:rsid w:val="00EF1FE6"/>
    <w:rsid w:val="00FC44D6"/>
    <w:rsid w:val="010351AA"/>
    <w:rsid w:val="01457570"/>
    <w:rsid w:val="015B6D94"/>
    <w:rsid w:val="017E1FB2"/>
    <w:rsid w:val="01F56166"/>
    <w:rsid w:val="01FA47FF"/>
    <w:rsid w:val="020E02AA"/>
    <w:rsid w:val="02111B48"/>
    <w:rsid w:val="0256060D"/>
    <w:rsid w:val="02612781"/>
    <w:rsid w:val="026E1EDE"/>
    <w:rsid w:val="02781BB9"/>
    <w:rsid w:val="029F7423"/>
    <w:rsid w:val="02DF6E5B"/>
    <w:rsid w:val="02E96621"/>
    <w:rsid w:val="037179C6"/>
    <w:rsid w:val="03837C32"/>
    <w:rsid w:val="03AD58A1"/>
    <w:rsid w:val="03B24C65"/>
    <w:rsid w:val="04210478"/>
    <w:rsid w:val="04432687"/>
    <w:rsid w:val="04AD3495"/>
    <w:rsid w:val="04D806FC"/>
    <w:rsid w:val="04E90B5B"/>
    <w:rsid w:val="0507785E"/>
    <w:rsid w:val="05166AA5"/>
    <w:rsid w:val="0557259F"/>
    <w:rsid w:val="055A54D4"/>
    <w:rsid w:val="05685F23"/>
    <w:rsid w:val="058F4143"/>
    <w:rsid w:val="06071298"/>
    <w:rsid w:val="062D5330"/>
    <w:rsid w:val="062F7947"/>
    <w:rsid w:val="06A116ED"/>
    <w:rsid w:val="06E75D72"/>
    <w:rsid w:val="07033078"/>
    <w:rsid w:val="070F17FB"/>
    <w:rsid w:val="07203F31"/>
    <w:rsid w:val="07245E7A"/>
    <w:rsid w:val="0777244E"/>
    <w:rsid w:val="078B7CA7"/>
    <w:rsid w:val="079B5FAE"/>
    <w:rsid w:val="07A34FF1"/>
    <w:rsid w:val="07DA145D"/>
    <w:rsid w:val="07F1321A"/>
    <w:rsid w:val="07F92E63"/>
    <w:rsid w:val="0816156E"/>
    <w:rsid w:val="086329D2"/>
    <w:rsid w:val="087846CF"/>
    <w:rsid w:val="087D1CE6"/>
    <w:rsid w:val="088A7F5F"/>
    <w:rsid w:val="08C22BA7"/>
    <w:rsid w:val="08D631A4"/>
    <w:rsid w:val="08E61A2B"/>
    <w:rsid w:val="08F16230"/>
    <w:rsid w:val="09016473"/>
    <w:rsid w:val="09075989"/>
    <w:rsid w:val="091343F8"/>
    <w:rsid w:val="09244C46"/>
    <w:rsid w:val="093A7BD7"/>
    <w:rsid w:val="09431213"/>
    <w:rsid w:val="096A2765"/>
    <w:rsid w:val="09880942"/>
    <w:rsid w:val="09AE44E1"/>
    <w:rsid w:val="09BA2AC6"/>
    <w:rsid w:val="09C95359"/>
    <w:rsid w:val="0A0504AD"/>
    <w:rsid w:val="0A1519F5"/>
    <w:rsid w:val="0A1641A0"/>
    <w:rsid w:val="0A5142B8"/>
    <w:rsid w:val="0A632E3C"/>
    <w:rsid w:val="0A664F43"/>
    <w:rsid w:val="0AD249CC"/>
    <w:rsid w:val="0AEC6CAF"/>
    <w:rsid w:val="0AF142C5"/>
    <w:rsid w:val="0B250AB1"/>
    <w:rsid w:val="0B363FE5"/>
    <w:rsid w:val="0B3B3718"/>
    <w:rsid w:val="0B512E90"/>
    <w:rsid w:val="0B5A3A72"/>
    <w:rsid w:val="0BB53545"/>
    <w:rsid w:val="0BD91923"/>
    <w:rsid w:val="0BEB51B8"/>
    <w:rsid w:val="0C2839CF"/>
    <w:rsid w:val="0C37664F"/>
    <w:rsid w:val="0C381612"/>
    <w:rsid w:val="0C7451AE"/>
    <w:rsid w:val="0C7B653C"/>
    <w:rsid w:val="0CAF654F"/>
    <w:rsid w:val="0CCB00D6"/>
    <w:rsid w:val="0CE66ED2"/>
    <w:rsid w:val="0CEC743A"/>
    <w:rsid w:val="0D002EE5"/>
    <w:rsid w:val="0D056497"/>
    <w:rsid w:val="0D49554C"/>
    <w:rsid w:val="0DC21F49"/>
    <w:rsid w:val="0DD86D97"/>
    <w:rsid w:val="0DDC3E97"/>
    <w:rsid w:val="0E1B33FA"/>
    <w:rsid w:val="0E774FAF"/>
    <w:rsid w:val="0E9A3A5A"/>
    <w:rsid w:val="0EA50285"/>
    <w:rsid w:val="0EBB5316"/>
    <w:rsid w:val="0ED524A6"/>
    <w:rsid w:val="0ED9579C"/>
    <w:rsid w:val="0EE63E27"/>
    <w:rsid w:val="0F0F11BE"/>
    <w:rsid w:val="0F4F62AB"/>
    <w:rsid w:val="0F56402D"/>
    <w:rsid w:val="0F746D1F"/>
    <w:rsid w:val="0F7742D3"/>
    <w:rsid w:val="0F7F555A"/>
    <w:rsid w:val="0FA861F5"/>
    <w:rsid w:val="0FB55184"/>
    <w:rsid w:val="0FB91547"/>
    <w:rsid w:val="0FB94270"/>
    <w:rsid w:val="0FE16FFE"/>
    <w:rsid w:val="0FE601D3"/>
    <w:rsid w:val="100B1329"/>
    <w:rsid w:val="10376C1E"/>
    <w:rsid w:val="105B0B5E"/>
    <w:rsid w:val="10606175"/>
    <w:rsid w:val="10A2678D"/>
    <w:rsid w:val="10AD5C39"/>
    <w:rsid w:val="10F93ED3"/>
    <w:rsid w:val="11001706"/>
    <w:rsid w:val="11186EC6"/>
    <w:rsid w:val="113831D6"/>
    <w:rsid w:val="115455AE"/>
    <w:rsid w:val="117B401C"/>
    <w:rsid w:val="11A4243B"/>
    <w:rsid w:val="11CA7D3B"/>
    <w:rsid w:val="11DC5CCF"/>
    <w:rsid w:val="11F50CDC"/>
    <w:rsid w:val="12061235"/>
    <w:rsid w:val="123267A4"/>
    <w:rsid w:val="123F625E"/>
    <w:rsid w:val="12485112"/>
    <w:rsid w:val="126705D3"/>
    <w:rsid w:val="126B0E01"/>
    <w:rsid w:val="126C5D9D"/>
    <w:rsid w:val="126E269F"/>
    <w:rsid w:val="129C7F02"/>
    <w:rsid w:val="12A6008B"/>
    <w:rsid w:val="12DE15D3"/>
    <w:rsid w:val="12FE7EC7"/>
    <w:rsid w:val="13111E52"/>
    <w:rsid w:val="131C20FB"/>
    <w:rsid w:val="13250FB0"/>
    <w:rsid w:val="1367007B"/>
    <w:rsid w:val="13716997"/>
    <w:rsid w:val="138B31B9"/>
    <w:rsid w:val="13C62793"/>
    <w:rsid w:val="13E470BD"/>
    <w:rsid w:val="14033434"/>
    <w:rsid w:val="14321436"/>
    <w:rsid w:val="145533A6"/>
    <w:rsid w:val="145D172B"/>
    <w:rsid w:val="14AE3227"/>
    <w:rsid w:val="14C2599C"/>
    <w:rsid w:val="14E76E65"/>
    <w:rsid w:val="15493414"/>
    <w:rsid w:val="154B4320"/>
    <w:rsid w:val="155C2C83"/>
    <w:rsid w:val="156052AE"/>
    <w:rsid w:val="15714980"/>
    <w:rsid w:val="15791A87"/>
    <w:rsid w:val="15E038B4"/>
    <w:rsid w:val="15FB06EE"/>
    <w:rsid w:val="15FE2FBC"/>
    <w:rsid w:val="16717570"/>
    <w:rsid w:val="16921052"/>
    <w:rsid w:val="16C60CFC"/>
    <w:rsid w:val="16E24DAF"/>
    <w:rsid w:val="1756114A"/>
    <w:rsid w:val="175D7709"/>
    <w:rsid w:val="17614581"/>
    <w:rsid w:val="179E57D5"/>
    <w:rsid w:val="17E14A02"/>
    <w:rsid w:val="17F4051E"/>
    <w:rsid w:val="18262D2F"/>
    <w:rsid w:val="183F4893"/>
    <w:rsid w:val="18507640"/>
    <w:rsid w:val="189746FE"/>
    <w:rsid w:val="19775E4C"/>
    <w:rsid w:val="19780EE1"/>
    <w:rsid w:val="19C42AEA"/>
    <w:rsid w:val="19CA0B03"/>
    <w:rsid w:val="19F162B9"/>
    <w:rsid w:val="19F83806"/>
    <w:rsid w:val="19F953B4"/>
    <w:rsid w:val="19FB2549"/>
    <w:rsid w:val="1A0A7151"/>
    <w:rsid w:val="1A262217"/>
    <w:rsid w:val="1A2C2B71"/>
    <w:rsid w:val="1A393593"/>
    <w:rsid w:val="1A3B555D"/>
    <w:rsid w:val="1A495ECC"/>
    <w:rsid w:val="1A802750"/>
    <w:rsid w:val="1A861F7A"/>
    <w:rsid w:val="1A9F5AEC"/>
    <w:rsid w:val="1AAB5458"/>
    <w:rsid w:val="1AB3093F"/>
    <w:rsid w:val="1ADA2B18"/>
    <w:rsid w:val="1B0862A1"/>
    <w:rsid w:val="1B2A3BA7"/>
    <w:rsid w:val="1B2A7AAB"/>
    <w:rsid w:val="1B4D19EC"/>
    <w:rsid w:val="1B4D72F6"/>
    <w:rsid w:val="1B537EA8"/>
    <w:rsid w:val="1B5D252D"/>
    <w:rsid w:val="1B842559"/>
    <w:rsid w:val="1B9F5B92"/>
    <w:rsid w:val="1BA459BD"/>
    <w:rsid w:val="1BA63969"/>
    <w:rsid w:val="1BE51C24"/>
    <w:rsid w:val="1C13053F"/>
    <w:rsid w:val="1C24274C"/>
    <w:rsid w:val="1C2564C4"/>
    <w:rsid w:val="1C312E6D"/>
    <w:rsid w:val="1C3E7702"/>
    <w:rsid w:val="1C6C4B9A"/>
    <w:rsid w:val="1C7B4364"/>
    <w:rsid w:val="1C80207F"/>
    <w:rsid w:val="1C8F4572"/>
    <w:rsid w:val="1CA72E59"/>
    <w:rsid w:val="1CA97EEF"/>
    <w:rsid w:val="1CB26C8F"/>
    <w:rsid w:val="1CB6582C"/>
    <w:rsid w:val="1CBF06C7"/>
    <w:rsid w:val="1CC53517"/>
    <w:rsid w:val="1CEC2B3E"/>
    <w:rsid w:val="1CED212E"/>
    <w:rsid w:val="1D175E0D"/>
    <w:rsid w:val="1D7274E7"/>
    <w:rsid w:val="1DAC357D"/>
    <w:rsid w:val="1DB2332A"/>
    <w:rsid w:val="1DD30631"/>
    <w:rsid w:val="1DEE712F"/>
    <w:rsid w:val="1E0740D4"/>
    <w:rsid w:val="1E0C3498"/>
    <w:rsid w:val="1E624185"/>
    <w:rsid w:val="1E721A3B"/>
    <w:rsid w:val="1E7B061E"/>
    <w:rsid w:val="1EB64CF4"/>
    <w:rsid w:val="1EDB2E6A"/>
    <w:rsid w:val="1EE73F05"/>
    <w:rsid w:val="1F494278"/>
    <w:rsid w:val="1F60660E"/>
    <w:rsid w:val="1F712CCB"/>
    <w:rsid w:val="1F784B5D"/>
    <w:rsid w:val="1F8254F4"/>
    <w:rsid w:val="1F8D3D32"/>
    <w:rsid w:val="1FB262C1"/>
    <w:rsid w:val="1FE226FB"/>
    <w:rsid w:val="1FFE5062"/>
    <w:rsid w:val="200E0021"/>
    <w:rsid w:val="206A1FBA"/>
    <w:rsid w:val="20825C93"/>
    <w:rsid w:val="208F03B0"/>
    <w:rsid w:val="208F356B"/>
    <w:rsid w:val="209C2740"/>
    <w:rsid w:val="20BF1705"/>
    <w:rsid w:val="20D11476"/>
    <w:rsid w:val="210743EB"/>
    <w:rsid w:val="212F7F58"/>
    <w:rsid w:val="214473ED"/>
    <w:rsid w:val="21562C7C"/>
    <w:rsid w:val="21BD6DBB"/>
    <w:rsid w:val="21CD2E01"/>
    <w:rsid w:val="21FC1CAE"/>
    <w:rsid w:val="22066450"/>
    <w:rsid w:val="22300199"/>
    <w:rsid w:val="22600256"/>
    <w:rsid w:val="22714212"/>
    <w:rsid w:val="227D22D5"/>
    <w:rsid w:val="228D0920"/>
    <w:rsid w:val="228E72A6"/>
    <w:rsid w:val="22BF1DCF"/>
    <w:rsid w:val="22BF4752"/>
    <w:rsid w:val="23016F63"/>
    <w:rsid w:val="23041092"/>
    <w:rsid w:val="230C7DF6"/>
    <w:rsid w:val="23264FFC"/>
    <w:rsid w:val="236F3203"/>
    <w:rsid w:val="23A27E3A"/>
    <w:rsid w:val="24023B61"/>
    <w:rsid w:val="240C069F"/>
    <w:rsid w:val="240E47C2"/>
    <w:rsid w:val="242552B4"/>
    <w:rsid w:val="244D65B8"/>
    <w:rsid w:val="24521E21"/>
    <w:rsid w:val="24523BCF"/>
    <w:rsid w:val="2471674B"/>
    <w:rsid w:val="248C70E1"/>
    <w:rsid w:val="249930A4"/>
    <w:rsid w:val="24A106B2"/>
    <w:rsid w:val="24AC1531"/>
    <w:rsid w:val="24E3027B"/>
    <w:rsid w:val="24F655FA"/>
    <w:rsid w:val="24FD0D5F"/>
    <w:rsid w:val="25283D1B"/>
    <w:rsid w:val="253B28B5"/>
    <w:rsid w:val="25712DD4"/>
    <w:rsid w:val="25733DFD"/>
    <w:rsid w:val="25A41F12"/>
    <w:rsid w:val="25A55D5A"/>
    <w:rsid w:val="25C11C5C"/>
    <w:rsid w:val="260E7FC9"/>
    <w:rsid w:val="261F57E4"/>
    <w:rsid w:val="26212EFD"/>
    <w:rsid w:val="262B6FD1"/>
    <w:rsid w:val="26514A3C"/>
    <w:rsid w:val="26753BA5"/>
    <w:rsid w:val="26964247"/>
    <w:rsid w:val="26B864C1"/>
    <w:rsid w:val="26B96187"/>
    <w:rsid w:val="27282EA6"/>
    <w:rsid w:val="27457E54"/>
    <w:rsid w:val="274E4B21"/>
    <w:rsid w:val="27960276"/>
    <w:rsid w:val="27A22094"/>
    <w:rsid w:val="27A6495D"/>
    <w:rsid w:val="2858446F"/>
    <w:rsid w:val="28812CD5"/>
    <w:rsid w:val="28AF339E"/>
    <w:rsid w:val="28D57B36"/>
    <w:rsid w:val="28DA492B"/>
    <w:rsid w:val="28E86B18"/>
    <w:rsid w:val="28F45446"/>
    <w:rsid w:val="290C4C94"/>
    <w:rsid w:val="29614221"/>
    <w:rsid w:val="29CA2459"/>
    <w:rsid w:val="2A071D03"/>
    <w:rsid w:val="2A076830"/>
    <w:rsid w:val="2A13795C"/>
    <w:rsid w:val="2A227643"/>
    <w:rsid w:val="2A802B5A"/>
    <w:rsid w:val="2AA44A58"/>
    <w:rsid w:val="2AD553DA"/>
    <w:rsid w:val="2B054B77"/>
    <w:rsid w:val="2BA967CA"/>
    <w:rsid w:val="2BC2788C"/>
    <w:rsid w:val="2BC90C1A"/>
    <w:rsid w:val="2C477D91"/>
    <w:rsid w:val="2C5F332D"/>
    <w:rsid w:val="2C633592"/>
    <w:rsid w:val="2C695F59"/>
    <w:rsid w:val="2C7F750E"/>
    <w:rsid w:val="2C8E3C12"/>
    <w:rsid w:val="2C9805ED"/>
    <w:rsid w:val="2CE10550"/>
    <w:rsid w:val="2D0A773C"/>
    <w:rsid w:val="2D5D4587"/>
    <w:rsid w:val="2D60735C"/>
    <w:rsid w:val="2D80355B"/>
    <w:rsid w:val="2D83250D"/>
    <w:rsid w:val="2DAD7E10"/>
    <w:rsid w:val="2DD2208F"/>
    <w:rsid w:val="2DF603BF"/>
    <w:rsid w:val="2DFB239F"/>
    <w:rsid w:val="2E4B43F7"/>
    <w:rsid w:val="2E821554"/>
    <w:rsid w:val="2E99728F"/>
    <w:rsid w:val="2EAD65D1"/>
    <w:rsid w:val="2EB57234"/>
    <w:rsid w:val="2ED57017"/>
    <w:rsid w:val="2F210D6D"/>
    <w:rsid w:val="2F2E731A"/>
    <w:rsid w:val="2F544C9F"/>
    <w:rsid w:val="2F5D4BE5"/>
    <w:rsid w:val="2F6A74F6"/>
    <w:rsid w:val="2F7B222C"/>
    <w:rsid w:val="2F854E58"/>
    <w:rsid w:val="2F8623B8"/>
    <w:rsid w:val="2FBA37D4"/>
    <w:rsid w:val="2FD61B58"/>
    <w:rsid w:val="303348B4"/>
    <w:rsid w:val="3049057C"/>
    <w:rsid w:val="307849BD"/>
    <w:rsid w:val="30A81249"/>
    <w:rsid w:val="30BA4FD6"/>
    <w:rsid w:val="30CC6AB7"/>
    <w:rsid w:val="30DE2736"/>
    <w:rsid w:val="30E738F1"/>
    <w:rsid w:val="310E5321"/>
    <w:rsid w:val="3116097F"/>
    <w:rsid w:val="315D4576"/>
    <w:rsid w:val="318D26EA"/>
    <w:rsid w:val="321B5F48"/>
    <w:rsid w:val="323A72FC"/>
    <w:rsid w:val="32A63A63"/>
    <w:rsid w:val="331E2E76"/>
    <w:rsid w:val="338813BB"/>
    <w:rsid w:val="33941B0E"/>
    <w:rsid w:val="33AD5110"/>
    <w:rsid w:val="33B46DFA"/>
    <w:rsid w:val="33BC72B7"/>
    <w:rsid w:val="33F50379"/>
    <w:rsid w:val="33FC766F"/>
    <w:rsid w:val="340D366E"/>
    <w:rsid w:val="344C23E9"/>
    <w:rsid w:val="34697D41"/>
    <w:rsid w:val="34971654"/>
    <w:rsid w:val="34A957B3"/>
    <w:rsid w:val="34B8182C"/>
    <w:rsid w:val="34C03157"/>
    <w:rsid w:val="34CC71CA"/>
    <w:rsid w:val="34E70363"/>
    <w:rsid w:val="34E73EBF"/>
    <w:rsid w:val="350307E8"/>
    <w:rsid w:val="353B5C6A"/>
    <w:rsid w:val="35556F6B"/>
    <w:rsid w:val="357C324A"/>
    <w:rsid w:val="35AF2E57"/>
    <w:rsid w:val="35E13004"/>
    <w:rsid w:val="35E46651"/>
    <w:rsid w:val="35EA2B78"/>
    <w:rsid w:val="35F9034E"/>
    <w:rsid w:val="36251143"/>
    <w:rsid w:val="365D6B2F"/>
    <w:rsid w:val="36B45B0A"/>
    <w:rsid w:val="36C505C0"/>
    <w:rsid w:val="36E25286"/>
    <w:rsid w:val="374101FF"/>
    <w:rsid w:val="374B4BD9"/>
    <w:rsid w:val="374E0226"/>
    <w:rsid w:val="37503F9E"/>
    <w:rsid w:val="37612374"/>
    <w:rsid w:val="378D53C9"/>
    <w:rsid w:val="378F705B"/>
    <w:rsid w:val="37921E45"/>
    <w:rsid w:val="379B6C03"/>
    <w:rsid w:val="37BE0A17"/>
    <w:rsid w:val="37C130EE"/>
    <w:rsid w:val="37E72840"/>
    <w:rsid w:val="37EE37B7"/>
    <w:rsid w:val="37F560BB"/>
    <w:rsid w:val="381B27FE"/>
    <w:rsid w:val="38305B7D"/>
    <w:rsid w:val="38683569"/>
    <w:rsid w:val="38700A1F"/>
    <w:rsid w:val="38871C41"/>
    <w:rsid w:val="388A34DF"/>
    <w:rsid w:val="38B91C49"/>
    <w:rsid w:val="38FB38ED"/>
    <w:rsid w:val="3915727F"/>
    <w:rsid w:val="395F49FB"/>
    <w:rsid w:val="39763A64"/>
    <w:rsid w:val="39987E7E"/>
    <w:rsid w:val="39A24859"/>
    <w:rsid w:val="39AB0C56"/>
    <w:rsid w:val="39C11183"/>
    <w:rsid w:val="39EA7711"/>
    <w:rsid w:val="3A11074D"/>
    <w:rsid w:val="3A184B1B"/>
    <w:rsid w:val="3A8219E0"/>
    <w:rsid w:val="3AA765CB"/>
    <w:rsid w:val="3AB331C1"/>
    <w:rsid w:val="3AD9108C"/>
    <w:rsid w:val="3AD93F65"/>
    <w:rsid w:val="3AFB2473"/>
    <w:rsid w:val="3B295232"/>
    <w:rsid w:val="3B376EFC"/>
    <w:rsid w:val="3B4B3B3B"/>
    <w:rsid w:val="3B610A82"/>
    <w:rsid w:val="3B635D60"/>
    <w:rsid w:val="3B660C91"/>
    <w:rsid w:val="3B7479B4"/>
    <w:rsid w:val="3B8B1A48"/>
    <w:rsid w:val="3BA66DE6"/>
    <w:rsid w:val="3BB70A8F"/>
    <w:rsid w:val="3BD54F59"/>
    <w:rsid w:val="3BF910A8"/>
    <w:rsid w:val="3C152F9D"/>
    <w:rsid w:val="3C557729"/>
    <w:rsid w:val="3C7A4115"/>
    <w:rsid w:val="3CD504A1"/>
    <w:rsid w:val="3CE05DC4"/>
    <w:rsid w:val="3D1F72F5"/>
    <w:rsid w:val="3D475E43"/>
    <w:rsid w:val="3D4A5478"/>
    <w:rsid w:val="3D5D6520"/>
    <w:rsid w:val="3D747CFC"/>
    <w:rsid w:val="3DB35286"/>
    <w:rsid w:val="3DCD7917"/>
    <w:rsid w:val="3DD0408A"/>
    <w:rsid w:val="3DD35929"/>
    <w:rsid w:val="3DEA32F6"/>
    <w:rsid w:val="3DF7588D"/>
    <w:rsid w:val="3E084388"/>
    <w:rsid w:val="3E1C2CC7"/>
    <w:rsid w:val="3E20580F"/>
    <w:rsid w:val="3E834C59"/>
    <w:rsid w:val="3E947A87"/>
    <w:rsid w:val="3ED14F0B"/>
    <w:rsid w:val="3F073ADC"/>
    <w:rsid w:val="3F1F72E5"/>
    <w:rsid w:val="3F4563B2"/>
    <w:rsid w:val="3F76279B"/>
    <w:rsid w:val="3FAF6CE2"/>
    <w:rsid w:val="3FC419CD"/>
    <w:rsid w:val="3FEE1C38"/>
    <w:rsid w:val="40554B60"/>
    <w:rsid w:val="405F5252"/>
    <w:rsid w:val="40672358"/>
    <w:rsid w:val="40805350"/>
    <w:rsid w:val="40A07B60"/>
    <w:rsid w:val="40B4717F"/>
    <w:rsid w:val="40DA589D"/>
    <w:rsid w:val="410258E6"/>
    <w:rsid w:val="41DB2FFE"/>
    <w:rsid w:val="421C0D7B"/>
    <w:rsid w:val="421F738E"/>
    <w:rsid w:val="42424E2B"/>
    <w:rsid w:val="4253528A"/>
    <w:rsid w:val="42784CF1"/>
    <w:rsid w:val="42885ED8"/>
    <w:rsid w:val="42934BD6"/>
    <w:rsid w:val="42E859D2"/>
    <w:rsid w:val="434A043B"/>
    <w:rsid w:val="43560B8E"/>
    <w:rsid w:val="4391606A"/>
    <w:rsid w:val="43926674"/>
    <w:rsid w:val="439873F8"/>
    <w:rsid w:val="43A14942"/>
    <w:rsid w:val="43A86ECF"/>
    <w:rsid w:val="43C57AC2"/>
    <w:rsid w:val="43CB4865"/>
    <w:rsid w:val="43F276F7"/>
    <w:rsid w:val="43FD779D"/>
    <w:rsid w:val="440E2A8F"/>
    <w:rsid w:val="449851D6"/>
    <w:rsid w:val="44B43292"/>
    <w:rsid w:val="44C91833"/>
    <w:rsid w:val="44E97761"/>
    <w:rsid w:val="44EC107E"/>
    <w:rsid w:val="45235531"/>
    <w:rsid w:val="45470683"/>
    <w:rsid w:val="45921C25"/>
    <w:rsid w:val="459E6D07"/>
    <w:rsid w:val="45AE762A"/>
    <w:rsid w:val="45D33E78"/>
    <w:rsid w:val="45DB35CC"/>
    <w:rsid w:val="45FF5F92"/>
    <w:rsid w:val="46313BA0"/>
    <w:rsid w:val="463D72BF"/>
    <w:rsid w:val="465C2F72"/>
    <w:rsid w:val="465F4D5B"/>
    <w:rsid w:val="46686840"/>
    <w:rsid w:val="467819D0"/>
    <w:rsid w:val="467F03FC"/>
    <w:rsid w:val="46B5206F"/>
    <w:rsid w:val="46C82ED5"/>
    <w:rsid w:val="47073BCB"/>
    <w:rsid w:val="472076E4"/>
    <w:rsid w:val="47727F60"/>
    <w:rsid w:val="478F7835"/>
    <w:rsid w:val="47940A43"/>
    <w:rsid w:val="47A24492"/>
    <w:rsid w:val="47AA78DA"/>
    <w:rsid w:val="47CA6DDD"/>
    <w:rsid w:val="48010528"/>
    <w:rsid w:val="481728B6"/>
    <w:rsid w:val="48286DA7"/>
    <w:rsid w:val="490177EE"/>
    <w:rsid w:val="49167019"/>
    <w:rsid w:val="49170DBF"/>
    <w:rsid w:val="49522853"/>
    <w:rsid w:val="497373A7"/>
    <w:rsid w:val="49843F7B"/>
    <w:rsid w:val="49845D29"/>
    <w:rsid w:val="4A191E71"/>
    <w:rsid w:val="4A282371"/>
    <w:rsid w:val="4A69564B"/>
    <w:rsid w:val="4A6C6EE9"/>
    <w:rsid w:val="4AB43B4D"/>
    <w:rsid w:val="4AD8457E"/>
    <w:rsid w:val="4AD8785C"/>
    <w:rsid w:val="4ADB7BCB"/>
    <w:rsid w:val="4B0300A9"/>
    <w:rsid w:val="4B0A00AB"/>
    <w:rsid w:val="4B29302C"/>
    <w:rsid w:val="4B2C48CA"/>
    <w:rsid w:val="4B2C6FD0"/>
    <w:rsid w:val="4B70592C"/>
    <w:rsid w:val="4B920BD1"/>
    <w:rsid w:val="4BE541F5"/>
    <w:rsid w:val="4C1C049B"/>
    <w:rsid w:val="4C1D55BD"/>
    <w:rsid w:val="4C261319"/>
    <w:rsid w:val="4C324162"/>
    <w:rsid w:val="4C4A7F88"/>
    <w:rsid w:val="4C9F6992"/>
    <w:rsid w:val="4CAA3FE4"/>
    <w:rsid w:val="4D203371"/>
    <w:rsid w:val="4D3D48D8"/>
    <w:rsid w:val="4D565C2E"/>
    <w:rsid w:val="4DB34E2F"/>
    <w:rsid w:val="4DC92CD7"/>
    <w:rsid w:val="4DD131EE"/>
    <w:rsid w:val="4DDA23BB"/>
    <w:rsid w:val="4DDE00FE"/>
    <w:rsid w:val="4E0F5292"/>
    <w:rsid w:val="4E2B2C17"/>
    <w:rsid w:val="4E50267E"/>
    <w:rsid w:val="4E5054FE"/>
    <w:rsid w:val="4E555EE6"/>
    <w:rsid w:val="4EA46B83"/>
    <w:rsid w:val="4EBD41B7"/>
    <w:rsid w:val="4F0022F6"/>
    <w:rsid w:val="4F2663C3"/>
    <w:rsid w:val="4F277882"/>
    <w:rsid w:val="4F3124AF"/>
    <w:rsid w:val="4F5B577E"/>
    <w:rsid w:val="4F5F41F5"/>
    <w:rsid w:val="4F746DBC"/>
    <w:rsid w:val="4F7C5E20"/>
    <w:rsid w:val="4F8E7901"/>
    <w:rsid w:val="4F8F63DD"/>
    <w:rsid w:val="4F952A3E"/>
    <w:rsid w:val="4FDE2637"/>
    <w:rsid w:val="500C1030"/>
    <w:rsid w:val="50130991"/>
    <w:rsid w:val="502D711A"/>
    <w:rsid w:val="503C07FB"/>
    <w:rsid w:val="50502E09"/>
    <w:rsid w:val="50632B3C"/>
    <w:rsid w:val="5099655E"/>
    <w:rsid w:val="50AF51FF"/>
    <w:rsid w:val="50C01D3C"/>
    <w:rsid w:val="50C335DB"/>
    <w:rsid w:val="50DE21C3"/>
    <w:rsid w:val="50F36444"/>
    <w:rsid w:val="50FA3CA1"/>
    <w:rsid w:val="512F7FF5"/>
    <w:rsid w:val="51340035"/>
    <w:rsid w:val="514007DE"/>
    <w:rsid w:val="51510BE7"/>
    <w:rsid w:val="51566135"/>
    <w:rsid w:val="515F7512"/>
    <w:rsid w:val="516C3C72"/>
    <w:rsid w:val="517268FB"/>
    <w:rsid w:val="517D19DC"/>
    <w:rsid w:val="519E693C"/>
    <w:rsid w:val="51A93B81"/>
    <w:rsid w:val="51C23892"/>
    <w:rsid w:val="51C92E73"/>
    <w:rsid w:val="51D610EC"/>
    <w:rsid w:val="51E100B0"/>
    <w:rsid w:val="525B5A60"/>
    <w:rsid w:val="528C45CC"/>
    <w:rsid w:val="528D3EA0"/>
    <w:rsid w:val="52AC78CB"/>
    <w:rsid w:val="52BA2FDC"/>
    <w:rsid w:val="52D25D57"/>
    <w:rsid w:val="52DD1244"/>
    <w:rsid w:val="52EB3E73"/>
    <w:rsid w:val="52F276F8"/>
    <w:rsid w:val="530D4FE1"/>
    <w:rsid w:val="53194A54"/>
    <w:rsid w:val="53242298"/>
    <w:rsid w:val="5394125E"/>
    <w:rsid w:val="53967117"/>
    <w:rsid w:val="53972727"/>
    <w:rsid w:val="53B40C73"/>
    <w:rsid w:val="53BA6F17"/>
    <w:rsid w:val="53E52D77"/>
    <w:rsid w:val="540B693C"/>
    <w:rsid w:val="54210D44"/>
    <w:rsid w:val="542F752F"/>
    <w:rsid w:val="543F1040"/>
    <w:rsid w:val="54436F0C"/>
    <w:rsid w:val="54480AEC"/>
    <w:rsid w:val="548856CD"/>
    <w:rsid w:val="54B95421"/>
    <w:rsid w:val="551004AF"/>
    <w:rsid w:val="552A1E7A"/>
    <w:rsid w:val="55524F2D"/>
    <w:rsid w:val="55562C6F"/>
    <w:rsid w:val="55767D2F"/>
    <w:rsid w:val="557F21C6"/>
    <w:rsid w:val="55844974"/>
    <w:rsid w:val="55BA2AAD"/>
    <w:rsid w:val="55D50038"/>
    <w:rsid w:val="562D431B"/>
    <w:rsid w:val="563F1955"/>
    <w:rsid w:val="564F1D64"/>
    <w:rsid w:val="56572614"/>
    <w:rsid w:val="56855730"/>
    <w:rsid w:val="56A0017C"/>
    <w:rsid w:val="57032983"/>
    <w:rsid w:val="5714060E"/>
    <w:rsid w:val="571B13DB"/>
    <w:rsid w:val="57291945"/>
    <w:rsid w:val="573E39BB"/>
    <w:rsid w:val="5776313A"/>
    <w:rsid w:val="577E64AD"/>
    <w:rsid w:val="57AA3B8A"/>
    <w:rsid w:val="57AE3079"/>
    <w:rsid w:val="57B207D5"/>
    <w:rsid w:val="57C40364"/>
    <w:rsid w:val="57D60097"/>
    <w:rsid w:val="57DA69E8"/>
    <w:rsid w:val="5857114E"/>
    <w:rsid w:val="5878114F"/>
    <w:rsid w:val="58834F21"/>
    <w:rsid w:val="588D4BFA"/>
    <w:rsid w:val="58C82395"/>
    <w:rsid w:val="59945B14"/>
    <w:rsid w:val="59A541C5"/>
    <w:rsid w:val="59C12681"/>
    <w:rsid w:val="5A2F1CE0"/>
    <w:rsid w:val="5A351F13"/>
    <w:rsid w:val="5A504131"/>
    <w:rsid w:val="5A62296D"/>
    <w:rsid w:val="5A951B44"/>
    <w:rsid w:val="5AA24261"/>
    <w:rsid w:val="5ABD7A5F"/>
    <w:rsid w:val="5AC71F19"/>
    <w:rsid w:val="5AD3240B"/>
    <w:rsid w:val="5AD3566D"/>
    <w:rsid w:val="5AFE3B8D"/>
    <w:rsid w:val="5B1549AC"/>
    <w:rsid w:val="5B647768"/>
    <w:rsid w:val="5BAE68C9"/>
    <w:rsid w:val="5C1D44E7"/>
    <w:rsid w:val="5C3F26AF"/>
    <w:rsid w:val="5C4001D5"/>
    <w:rsid w:val="5C732359"/>
    <w:rsid w:val="5C7679B9"/>
    <w:rsid w:val="5C891B7C"/>
    <w:rsid w:val="5C8F7CC9"/>
    <w:rsid w:val="5CA04361"/>
    <w:rsid w:val="5CEA7508"/>
    <w:rsid w:val="5D3A4C25"/>
    <w:rsid w:val="5D475B2E"/>
    <w:rsid w:val="5D83684A"/>
    <w:rsid w:val="5D872448"/>
    <w:rsid w:val="5DA548E6"/>
    <w:rsid w:val="5DC42740"/>
    <w:rsid w:val="5DD157A4"/>
    <w:rsid w:val="5DE66B5A"/>
    <w:rsid w:val="5E44337A"/>
    <w:rsid w:val="5E8819C0"/>
    <w:rsid w:val="5EBB3B43"/>
    <w:rsid w:val="5ED846F5"/>
    <w:rsid w:val="5EF84D97"/>
    <w:rsid w:val="5F041CB2"/>
    <w:rsid w:val="5F0945D3"/>
    <w:rsid w:val="5F6E6E08"/>
    <w:rsid w:val="5F7A39FE"/>
    <w:rsid w:val="5F8108E9"/>
    <w:rsid w:val="5FB12DDE"/>
    <w:rsid w:val="5FB23198"/>
    <w:rsid w:val="5FD641B0"/>
    <w:rsid w:val="5FD84331"/>
    <w:rsid w:val="5FEF5BDF"/>
    <w:rsid w:val="60125C49"/>
    <w:rsid w:val="603B5578"/>
    <w:rsid w:val="60410240"/>
    <w:rsid w:val="604C0D0F"/>
    <w:rsid w:val="604E674D"/>
    <w:rsid w:val="609C38F3"/>
    <w:rsid w:val="60A54AAB"/>
    <w:rsid w:val="60B62814"/>
    <w:rsid w:val="60D05ED0"/>
    <w:rsid w:val="60E27AAD"/>
    <w:rsid w:val="610063AD"/>
    <w:rsid w:val="613F39CF"/>
    <w:rsid w:val="61481DFB"/>
    <w:rsid w:val="6189617B"/>
    <w:rsid w:val="619306EF"/>
    <w:rsid w:val="619863BE"/>
    <w:rsid w:val="61BA6334"/>
    <w:rsid w:val="62586FC5"/>
    <w:rsid w:val="626213F7"/>
    <w:rsid w:val="62844E3B"/>
    <w:rsid w:val="62C51434"/>
    <w:rsid w:val="62D67107"/>
    <w:rsid w:val="62D94E4D"/>
    <w:rsid w:val="63190669"/>
    <w:rsid w:val="632B4108"/>
    <w:rsid w:val="63302D52"/>
    <w:rsid w:val="63585E05"/>
    <w:rsid w:val="63865D1C"/>
    <w:rsid w:val="63BB75EA"/>
    <w:rsid w:val="64015E77"/>
    <w:rsid w:val="641536A9"/>
    <w:rsid w:val="643C1282"/>
    <w:rsid w:val="644F5459"/>
    <w:rsid w:val="64602371"/>
    <w:rsid w:val="64AB617A"/>
    <w:rsid w:val="64C319A4"/>
    <w:rsid w:val="64EF2799"/>
    <w:rsid w:val="650A05A3"/>
    <w:rsid w:val="65234572"/>
    <w:rsid w:val="65257F68"/>
    <w:rsid w:val="653705CD"/>
    <w:rsid w:val="65547735"/>
    <w:rsid w:val="6594632A"/>
    <w:rsid w:val="65A73EC5"/>
    <w:rsid w:val="65BF660F"/>
    <w:rsid w:val="65C100ED"/>
    <w:rsid w:val="65C92FEA"/>
    <w:rsid w:val="65E524A8"/>
    <w:rsid w:val="65FF6A0B"/>
    <w:rsid w:val="660D2ED6"/>
    <w:rsid w:val="661145B3"/>
    <w:rsid w:val="661F2C0A"/>
    <w:rsid w:val="66372649"/>
    <w:rsid w:val="663C37BC"/>
    <w:rsid w:val="668C4743"/>
    <w:rsid w:val="66974E96"/>
    <w:rsid w:val="66C23149"/>
    <w:rsid w:val="66E47B6F"/>
    <w:rsid w:val="66ED0F5A"/>
    <w:rsid w:val="6703005C"/>
    <w:rsid w:val="671B7875"/>
    <w:rsid w:val="672755B0"/>
    <w:rsid w:val="67380427"/>
    <w:rsid w:val="678F0101"/>
    <w:rsid w:val="6796514D"/>
    <w:rsid w:val="67A535E2"/>
    <w:rsid w:val="67E1172D"/>
    <w:rsid w:val="68012F0F"/>
    <w:rsid w:val="681C5653"/>
    <w:rsid w:val="68502506"/>
    <w:rsid w:val="687A681D"/>
    <w:rsid w:val="68C06926"/>
    <w:rsid w:val="68FE744E"/>
    <w:rsid w:val="69034A64"/>
    <w:rsid w:val="69076303"/>
    <w:rsid w:val="69124CA8"/>
    <w:rsid w:val="69360996"/>
    <w:rsid w:val="694D5CE0"/>
    <w:rsid w:val="694F3806"/>
    <w:rsid w:val="698060B5"/>
    <w:rsid w:val="69CE4CB7"/>
    <w:rsid w:val="69CF28E7"/>
    <w:rsid w:val="69E1016F"/>
    <w:rsid w:val="69E104CC"/>
    <w:rsid w:val="6AB778B5"/>
    <w:rsid w:val="6ABC4FE0"/>
    <w:rsid w:val="6AC96BD0"/>
    <w:rsid w:val="6AD243DF"/>
    <w:rsid w:val="6AE3348B"/>
    <w:rsid w:val="6AF01018"/>
    <w:rsid w:val="6B1C6E9A"/>
    <w:rsid w:val="6B364C7D"/>
    <w:rsid w:val="6B416D54"/>
    <w:rsid w:val="6B712159"/>
    <w:rsid w:val="6B96571C"/>
    <w:rsid w:val="6BBD0EFB"/>
    <w:rsid w:val="6C0E79A8"/>
    <w:rsid w:val="6C8859AD"/>
    <w:rsid w:val="6C9F4AA4"/>
    <w:rsid w:val="6CA16C49"/>
    <w:rsid w:val="6CA821CA"/>
    <w:rsid w:val="6CFA7F2C"/>
    <w:rsid w:val="6D185FF1"/>
    <w:rsid w:val="6D196605"/>
    <w:rsid w:val="6D292E34"/>
    <w:rsid w:val="6D4549E6"/>
    <w:rsid w:val="6D711A4A"/>
    <w:rsid w:val="6D877A12"/>
    <w:rsid w:val="6D93483E"/>
    <w:rsid w:val="6DA31AE2"/>
    <w:rsid w:val="6DBE0F5A"/>
    <w:rsid w:val="6DBE71AC"/>
    <w:rsid w:val="6DD8026E"/>
    <w:rsid w:val="6DED457B"/>
    <w:rsid w:val="6E4B46BB"/>
    <w:rsid w:val="6E573473"/>
    <w:rsid w:val="6E636D8C"/>
    <w:rsid w:val="6E7B6E4B"/>
    <w:rsid w:val="6EBF142E"/>
    <w:rsid w:val="6EC407F2"/>
    <w:rsid w:val="6ECB448A"/>
    <w:rsid w:val="6EF32414"/>
    <w:rsid w:val="6F3E7865"/>
    <w:rsid w:val="6F6F1680"/>
    <w:rsid w:val="6FAA5C3A"/>
    <w:rsid w:val="6FBD10E0"/>
    <w:rsid w:val="6FC52A74"/>
    <w:rsid w:val="703379DD"/>
    <w:rsid w:val="70716758"/>
    <w:rsid w:val="70891CF3"/>
    <w:rsid w:val="70934920"/>
    <w:rsid w:val="709541F4"/>
    <w:rsid w:val="70F03B20"/>
    <w:rsid w:val="70FA71D0"/>
    <w:rsid w:val="71107D1F"/>
    <w:rsid w:val="71357470"/>
    <w:rsid w:val="7138347D"/>
    <w:rsid w:val="71A1306D"/>
    <w:rsid w:val="71CA316E"/>
    <w:rsid w:val="71DA676D"/>
    <w:rsid w:val="721B2E1F"/>
    <w:rsid w:val="722E4900"/>
    <w:rsid w:val="726671EA"/>
    <w:rsid w:val="727B38BE"/>
    <w:rsid w:val="728564EA"/>
    <w:rsid w:val="728C3273"/>
    <w:rsid w:val="72A2709C"/>
    <w:rsid w:val="72B312A9"/>
    <w:rsid w:val="72C45265"/>
    <w:rsid w:val="72D670A5"/>
    <w:rsid w:val="72EB5E62"/>
    <w:rsid w:val="73113D4A"/>
    <w:rsid w:val="731B2ABD"/>
    <w:rsid w:val="73230AE2"/>
    <w:rsid w:val="73B44100"/>
    <w:rsid w:val="73E42497"/>
    <w:rsid w:val="73EA4C33"/>
    <w:rsid w:val="74026044"/>
    <w:rsid w:val="74031DBD"/>
    <w:rsid w:val="7437325D"/>
    <w:rsid w:val="744A79EB"/>
    <w:rsid w:val="74502C9A"/>
    <w:rsid w:val="74786D2C"/>
    <w:rsid w:val="74A30713"/>
    <w:rsid w:val="74A86771"/>
    <w:rsid w:val="74AB5644"/>
    <w:rsid w:val="74CE557E"/>
    <w:rsid w:val="74DE07D3"/>
    <w:rsid w:val="74EC2D22"/>
    <w:rsid w:val="751007EA"/>
    <w:rsid w:val="75157FF9"/>
    <w:rsid w:val="751C1388"/>
    <w:rsid w:val="75410DEE"/>
    <w:rsid w:val="75772608"/>
    <w:rsid w:val="758D7B90"/>
    <w:rsid w:val="75B94E29"/>
    <w:rsid w:val="764346F2"/>
    <w:rsid w:val="7691004B"/>
    <w:rsid w:val="76C27D0D"/>
    <w:rsid w:val="76CC293A"/>
    <w:rsid w:val="76E828A7"/>
    <w:rsid w:val="771D3195"/>
    <w:rsid w:val="77A3064B"/>
    <w:rsid w:val="77EC29B2"/>
    <w:rsid w:val="77F268B5"/>
    <w:rsid w:val="7807061A"/>
    <w:rsid w:val="78450BF6"/>
    <w:rsid w:val="784755D7"/>
    <w:rsid w:val="78715547"/>
    <w:rsid w:val="78C87131"/>
    <w:rsid w:val="78F11573"/>
    <w:rsid w:val="790D64D0"/>
    <w:rsid w:val="79110AD8"/>
    <w:rsid w:val="792702FB"/>
    <w:rsid w:val="79373E15"/>
    <w:rsid w:val="79EC4019"/>
    <w:rsid w:val="7A16661D"/>
    <w:rsid w:val="7ABA1B0C"/>
    <w:rsid w:val="7AEB3AC8"/>
    <w:rsid w:val="7AEF6BF7"/>
    <w:rsid w:val="7AF20495"/>
    <w:rsid w:val="7AFC6948"/>
    <w:rsid w:val="7B18439F"/>
    <w:rsid w:val="7B494559"/>
    <w:rsid w:val="7B6A6E91"/>
    <w:rsid w:val="7B8437E3"/>
    <w:rsid w:val="7B8E01BE"/>
    <w:rsid w:val="7B9F0C72"/>
    <w:rsid w:val="7BB57E40"/>
    <w:rsid w:val="7BB87930"/>
    <w:rsid w:val="7BBA0318"/>
    <w:rsid w:val="7BC736D0"/>
    <w:rsid w:val="7BDD1145"/>
    <w:rsid w:val="7BE27213"/>
    <w:rsid w:val="7C27396F"/>
    <w:rsid w:val="7C3E4599"/>
    <w:rsid w:val="7C482A62"/>
    <w:rsid w:val="7C5F1B5A"/>
    <w:rsid w:val="7C6F2012"/>
    <w:rsid w:val="7C701920"/>
    <w:rsid w:val="7C855A65"/>
    <w:rsid w:val="7CED360A"/>
    <w:rsid w:val="7D404496"/>
    <w:rsid w:val="7D592E1A"/>
    <w:rsid w:val="7D5D632C"/>
    <w:rsid w:val="7DBD2FDC"/>
    <w:rsid w:val="7DD32800"/>
    <w:rsid w:val="7DDA593C"/>
    <w:rsid w:val="7DE22A43"/>
    <w:rsid w:val="7DF52776"/>
    <w:rsid w:val="7DFD37EB"/>
    <w:rsid w:val="7E851D4C"/>
    <w:rsid w:val="7EB56193"/>
    <w:rsid w:val="7EE2719E"/>
    <w:rsid w:val="7EE679F0"/>
    <w:rsid w:val="7EF51180"/>
    <w:rsid w:val="7F7B19C2"/>
    <w:rsid w:val="7F871AF4"/>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next w:val="1"/>
    <w:qFormat/>
    <w:uiPriority w:val="0"/>
    <w:pPr>
      <w:tabs>
        <w:tab w:val="left" w:pos="0"/>
        <w:tab w:val="left" w:pos="993"/>
        <w:tab w:val="left" w:pos="1134"/>
      </w:tabs>
      <w:spacing w:line="500" w:lineRule="exact"/>
      <w:jc w:val="both"/>
    </w:pPr>
    <w:rPr>
      <w:rFonts w:ascii="宋体"/>
      <w:sz w:val="28"/>
    </w:rPr>
  </w:style>
  <w:style w:type="paragraph" w:styleId="5">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qFormat/>
    <w:uiPriority w:val="0"/>
    <w:rPr>
      <w:rFonts w:ascii="宋体" w:hAnsi="Courier New"/>
    </w:rPr>
  </w:style>
  <w:style w:type="paragraph" w:styleId="7">
    <w:name w:val="Date"/>
    <w:basedOn w:val="1"/>
    <w:next w:val="1"/>
    <w:qFormat/>
    <w:uiPriority w:val="0"/>
    <w:rPr>
      <w:sz w:val="24"/>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qFormat/>
    <w:uiPriority w:val="0"/>
    <w:pPr>
      <w:spacing w:before="100" w:beforeAutospacing="1" w:after="100" w:afterAutospacing="1"/>
    </w:pPr>
    <w:rPr>
      <w:rFonts w:ascii="宋体" w:hAnsi="宋体"/>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styleId="17">
    <w:name w:val="Hyperlink"/>
    <w:qFormat/>
    <w:uiPriority w:val="99"/>
    <w:rPr>
      <w:color w:val="0000FF"/>
      <w:u w:val="single"/>
    </w:rPr>
  </w:style>
  <w:style w:type="paragraph" w:customStyle="1" w:styleId="18">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0">
    <w:name w:val="Table Paragraph"/>
    <w:basedOn w:val="1"/>
    <w:qFormat/>
    <w:uiPriority w:val="1"/>
    <w:pPr>
      <w:autoSpaceDE w:val="0"/>
      <w:autoSpaceDN w:val="0"/>
      <w:jc w:val="left"/>
    </w:pPr>
    <w:rPr>
      <w:rFonts w:ascii="宋体" w:hAnsi="宋体" w:eastAsia="宋体" w:cs="宋体"/>
      <w:kern w:val="0"/>
      <w:sz w:val="22"/>
      <w:szCs w:val="22"/>
      <w:lang w:val="zh-CN" w:bidi="zh-CN"/>
    </w:rPr>
  </w:style>
  <w:style w:type="paragraph" w:customStyle="1" w:styleId="21">
    <w:name w:val="首行缩进"/>
    <w:basedOn w:val="1"/>
    <w:qFormat/>
    <w:uiPriority w:val="0"/>
    <w:pPr>
      <w:ind w:firstLine="480" w:firstLineChars="200"/>
    </w:pPr>
    <w:rPr>
      <w:lang w:val="zh-CN"/>
    </w:rPr>
  </w:style>
  <w:style w:type="character" w:customStyle="1" w:styleId="22">
    <w:name w:val="font31"/>
    <w:basedOn w:val="15"/>
    <w:qFormat/>
    <w:uiPriority w:val="0"/>
    <w:rPr>
      <w:rFonts w:hint="eastAsia" w:ascii="微软雅黑" w:hAnsi="微软雅黑" w:eastAsia="微软雅黑" w:cs="微软雅黑"/>
      <w:color w:val="000000"/>
      <w:sz w:val="21"/>
      <w:szCs w:val="21"/>
      <w:u w:val="none"/>
    </w:rPr>
  </w:style>
  <w:style w:type="character" w:customStyle="1" w:styleId="23">
    <w:name w:val="font51"/>
    <w:basedOn w:val="1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33457</Words>
  <Characters>34549</Characters>
  <Lines>196</Lines>
  <Paragraphs>55</Paragraphs>
  <TotalTime>2</TotalTime>
  <ScaleCrop>false</ScaleCrop>
  <LinksUpToDate>false</LinksUpToDate>
  <CharactersWithSpaces>37876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ZIkai</cp:lastModifiedBy>
  <cp:lastPrinted>2023-03-23T01:01:00Z</cp:lastPrinted>
  <dcterms:modified xsi:type="dcterms:W3CDTF">2025-06-30T01:19:51Z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4F62FBE1A89B4CCC893AF011BD16F61C</vt:lpwstr>
  </property>
  <property fmtid="{D5CDD505-2E9C-101B-9397-08002B2CF9AE}" pid="4" name="KSOTemplateDocerSaveRecord">
    <vt:lpwstr>eyJoZGlkIjoiY2U3YmUzN2I0ODUxM2E1MDdlOGNhZTk2YmJkNGFlNzciLCJ1c2VySWQiOiIxMDYzODk5Mzk3In0=</vt:lpwstr>
  </property>
</Properties>
</file>